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202" w:rsidRPr="0032631A" w:rsidRDefault="00927202" w:rsidP="00927202">
      <w:pPr>
        <w:widowControl w:val="0"/>
        <w:suppressAutoHyphens/>
        <w:spacing w:before="57" w:after="57"/>
        <w:ind w:left="6372" w:firstLine="708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32631A">
        <w:rPr>
          <w:rFonts w:ascii="Times New Roman" w:hAnsi="Times New Roman" w:cs="Times New Roman"/>
          <w:b/>
          <w:color w:val="000000" w:themeColor="text1"/>
          <w:lang w:val="pl-PL"/>
        </w:rPr>
        <w:t>Załącznik nr 4</w:t>
      </w:r>
    </w:p>
    <w:p w:rsidR="00927202" w:rsidRPr="0032631A" w:rsidRDefault="00927202" w:rsidP="00927202">
      <w:pPr>
        <w:widowControl w:val="0"/>
        <w:suppressAutoHyphens/>
        <w:spacing w:before="57" w:after="57"/>
        <w:jc w:val="both"/>
        <w:rPr>
          <w:rFonts w:ascii="Times New Roman" w:hAnsi="Times New Roman" w:cs="Times New Roman"/>
          <w:b/>
          <w:color w:val="000000" w:themeColor="text1"/>
          <w:lang w:val="pl-PL"/>
        </w:rPr>
      </w:pPr>
    </w:p>
    <w:p w:rsidR="00927202" w:rsidRPr="0032631A" w:rsidRDefault="00927202" w:rsidP="00927202">
      <w:pPr>
        <w:spacing w:before="57" w:after="57"/>
        <w:jc w:val="center"/>
        <w:rPr>
          <w:rFonts w:ascii="Times New Roman" w:hAnsi="Times New Roman" w:cs="Times New Roman"/>
          <w:b/>
          <w:bCs/>
          <w:lang w:val="pl-PL"/>
        </w:rPr>
      </w:pPr>
      <w:r w:rsidRPr="0032631A">
        <w:rPr>
          <w:rFonts w:ascii="Times New Roman" w:hAnsi="Times New Roman" w:cs="Times New Roman"/>
          <w:b/>
          <w:bCs/>
          <w:lang w:val="pl-PL"/>
        </w:rPr>
        <w:t xml:space="preserve">Regulamin </w:t>
      </w:r>
      <w:proofErr w:type="spellStart"/>
      <w:r w:rsidRPr="0032631A">
        <w:rPr>
          <w:rFonts w:ascii="Times New Roman" w:hAnsi="Times New Roman" w:cs="Times New Roman"/>
          <w:b/>
          <w:bCs/>
          <w:lang w:val="pl-PL"/>
        </w:rPr>
        <w:t>wypożyczeń</w:t>
      </w:r>
      <w:proofErr w:type="spellEnd"/>
      <w:r w:rsidRPr="0032631A">
        <w:rPr>
          <w:rFonts w:ascii="Times New Roman" w:hAnsi="Times New Roman" w:cs="Times New Roman"/>
          <w:b/>
          <w:bCs/>
          <w:lang w:val="pl-PL"/>
        </w:rPr>
        <w:t xml:space="preserve"> obiektów zgromadzonych w zbiorach Żydowskiego Instytutu Historycznego im. E. Ringelbluma</w:t>
      </w:r>
    </w:p>
    <w:p w:rsidR="00927202" w:rsidRPr="0032631A" w:rsidRDefault="00927202" w:rsidP="00927202">
      <w:pPr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 xml:space="preserve">Żydowski Instytut Historyczny </w:t>
      </w:r>
      <w:bookmarkStart w:id="0" w:name="_GoBack"/>
      <w:bookmarkEnd w:id="0"/>
      <w:r w:rsidRPr="0032631A">
        <w:rPr>
          <w:rFonts w:ascii="Times New Roman" w:hAnsi="Times New Roman" w:cs="Times New Roman"/>
          <w:lang w:val="pl-PL"/>
        </w:rPr>
        <w:t>im. Emanuela Ringelbluma wypożycza zbiory zgromadzone w zbiorach ŻIH (Obiekty) na podstawie pisemnego wniosku do Dyrektora Instytutu i umowy wypożyczenia (Umowa).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Umowa określa wszelkie szczegóły wypożyczenia nieujęte w niniejszym regulaminie.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 xml:space="preserve">Wniosek dotyczący wypożyczenia musi być złożony na co najmniej trzy miesiące przed oczekiwanym terminem wypożyczenia. 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 xml:space="preserve">Wniosek dotyczący wypożyczenia za granicę musi być złożony na co najmniej pięć miesięcy przed oczekiwanym terminem wypożyczenia. 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Wniosek dotyczący wypożyczenia powinien zawierać:</w:t>
      </w:r>
    </w:p>
    <w:p w:rsidR="00927202" w:rsidRPr="0032631A" w:rsidRDefault="00927202" w:rsidP="00927202">
      <w:pPr>
        <w:widowControl w:val="0"/>
        <w:numPr>
          <w:ilvl w:val="2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Wskazanie podmiotu biorącego Obiekt w wypożyczenie</w:t>
      </w:r>
    </w:p>
    <w:p w:rsidR="00927202" w:rsidRPr="0032631A" w:rsidRDefault="00927202" w:rsidP="00927202">
      <w:pPr>
        <w:widowControl w:val="0"/>
        <w:numPr>
          <w:ilvl w:val="2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Wskazanie Obiektów (autor, nazwa, numer inwentarzowy)</w:t>
      </w:r>
    </w:p>
    <w:p w:rsidR="00927202" w:rsidRPr="0032631A" w:rsidRDefault="00927202" w:rsidP="00927202">
      <w:pPr>
        <w:widowControl w:val="0"/>
        <w:numPr>
          <w:ilvl w:val="2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Wskazanie miejsca (adresu) ekspozycji Obiektów</w:t>
      </w:r>
    </w:p>
    <w:p w:rsidR="00927202" w:rsidRPr="0032631A" w:rsidRDefault="00927202" w:rsidP="00927202">
      <w:pPr>
        <w:widowControl w:val="0"/>
        <w:numPr>
          <w:ilvl w:val="2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Wskazanie okresu wypożyczenia wyrażonego co najmniej w miesiącach i latach</w:t>
      </w:r>
    </w:p>
    <w:p w:rsidR="00927202" w:rsidRPr="0032631A" w:rsidRDefault="00927202" w:rsidP="00927202">
      <w:pPr>
        <w:pStyle w:val="Akapitzlist"/>
        <w:numPr>
          <w:ilvl w:val="1"/>
          <w:numId w:val="1"/>
        </w:numPr>
        <w:tabs>
          <w:tab w:val="clear" w:pos="1080"/>
        </w:tabs>
        <w:suppressAutoHyphens/>
        <w:autoSpaceDE/>
        <w:autoSpaceDN/>
        <w:spacing w:before="57" w:after="120"/>
        <w:ind w:left="1134" w:hanging="414"/>
        <w:contextualSpacing/>
        <w:jc w:val="both"/>
        <w:rPr>
          <w:sz w:val="24"/>
          <w:szCs w:val="24"/>
        </w:rPr>
      </w:pPr>
      <w:r w:rsidRPr="0032631A">
        <w:rPr>
          <w:rFonts w:eastAsiaTheme="minorEastAsia"/>
          <w:sz w:val="24"/>
          <w:szCs w:val="24"/>
          <w:lang w:eastAsia="ja-JP" w:bidi="ar-SA"/>
        </w:rPr>
        <w:t>Decyzję o wypożyczeniu Obiektów podejmuje Dyrektor Instytutu na podstawie opinii konserwatora (stan Obiektów, ocena wniosku) i kierownika działu (wykorzystanie Obiektów</w:t>
      </w:r>
      <w:r w:rsidRPr="0032631A">
        <w:rPr>
          <w:sz w:val="24"/>
          <w:szCs w:val="24"/>
        </w:rPr>
        <w:t xml:space="preserve"> do celów własnych lub wypożyczenia, ocena wniosku).</w:t>
      </w:r>
    </w:p>
    <w:p w:rsidR="00927202" w:rsidRPr="0032631A" w:rsidRDefault="00927202" w:rsidP="00927202">
      <w:pPr>
        <w:pStyle w:val="Akapitzlist"/>
        <w:suppressAutoHyphens/>
        <w:autoSpaceDE/>
        <w:autoSpaceDN/>
        <w:spacing w:before="57" w:after="120"/>
        <w:ind w:left="1134"/>
        <w:contextualSpacing/>
        <w:jc w:val="both"/>
        <w:rPr>
          <w:sz w:val="12"/>
          <w:szCs w:val="12"/>
        </w:rPr>
      </w:pPr>
    </w:p>
    <w:p w:rsidR="00927202" w:rsidRPr="0032631A" w:rsidRDefault="00927202" w:rsidP="00927202">
      <w:pPr>
        <w:pStyle w:val="Akapitzlist"/>
        <w:numPr>
          <w:ilvl w:val="1"/>
          <w:numId w:val="1"/>
        </w:numPr>
        <w:suppressAutoHyphens/>
        <w:autoSpaceDE/>
        <w:autoSpaceDN/>
        <w:spacing w:before="57" w:after="120"/>
        <w:contextualSpacing/>
        <w:jc w:val="both"/>
        <w:rPr>
          <w:sz w:val="24"/>
          <w:szCs w:val="24"/>
        </w:rPr>
      </w:pPr>
      <w:r w:rsidRPr="0032631A">
        <w:rPr>
          <w:sz w:val="24"/>
          <w:szCs w:val="24"/>
        </w:rPr>
        <w:t xml:space="preserve">Decyzja Dyrektora ŻIH jest uzależniona ponadto od: </w:t>
      </w:r>
    </w:p>
    <w:p w:rsidR="00927202" w:rsidRPr="0032631A" w:rsidRDefault="00927202" w:rsidP="00927202">
      <w:pPr>
        <w:pStyle w:val="Akapitzlist"/>
        <w:numPr>
          <w:ilvl w:val="2"/>
          <w:numId w:val="1"/>
        </w:numPr>
        <w:suppressAutoHyphens/>
        <w:autoSpaceDE/>
        <w:autoSpaceDN/>
        <w:spacing w:before="57" w:after="120"/>
        <w:contextualSpacing/>
        <w:jc w:val="both"/>
        <w:rPr>
          <w:sz w:val="24"/>
          <w:szCs w:val="24"/>
        </w:rPr>
      </w:pPr>
      <w:r w:rsidRPr="0032631A">
        <w:rPr>
          <w:sz w:val="24"/>
          <w:szCs w:val="24"/>
        </w:rPr>
        <w:t>zgody Stowarzyszenia ŻIH – w przypadku obiektów złożonych przez to Stowarzyszenie do depozytu w ŻIH,</w:t>
      </w:r>
    </w:p>
    <w:p w:rsidR="00927202" w:rsidRPr="0032631A" w:rsidRDefault="00927202" w:rsidP="00927202">
      <w:pPr>
        <w:pStyle w:val="Akapitzlist"/>
        <w:numPr>
          <w:ilvl w:val="2"/>
          <w:numId w:val="1"/>
        </w:numPr>
        <w:suppressAutoHyphens/>
        <w:autoSpaceDE/>
        <w:autoSpaceDN/>
        <w:spacing w:before="57" w:after="120"/>
        <w:contextualSpacing/>
        <w:jc w:val="both"/>
        <w:rPr>
          <w:sz w:val="24"/>
          <w:szCs w:val="24"/>
        </w:rPr>
      </w:pPr>
      <w:r w:rsidRPr="0032631A">
        <w:rPr>
          <w:sz w:val="24"/>
          <w:szCs w:val="24"/>
        </w:rPr>
        <w:t>zgody Wojewódzkiego Konserwatora Zabytków – w przypadku wypożyczenia Obiektów poza granice państwa Polskiego.</w:t>
      </w:r>
    </w:p>
    <w:p w:rsidR="00927202" w:rsidRPr="0032631A" w:rsidRDefault="00927202" w:rsidP="00927202">
      <w:pPr>
        <w:pStyle w:val="Akapitzlist"/>
        <w:numPr>
          <w:ilvl w:val="1"/>
          <w:numId w:val="1"/>
        </w:numPr>
        <w:tabs>
          <w:tab w:val="clear" w:pos="1080"/>
          <w:tab w:val="num" w:pos="1134"/>
        </w:tabs>
        <w:suppressAutoHyphens/>
        <w:autoSpaceDE/>
        <w:autoSpaceDN/>
        <w:spacing w:before="57" w:after="120"/>
        <w:ind w:left="1134" w:hanging="414"/>
        <w:contextualSpacing/>
        <w:jc w:val="both"/>
        <w:rPr>
          <w:sz w:val="24"/>
          <w:szCs w:val="24"/>
        </w:rPr>
      </w:pPr>
      <w:r w:rsidRPr="0032631A">
        <w:rPr>
          <w:sz w:val="24"/>
          <w:szCs w:val="24"/>
        </w:rPr>
        <w:t xml:space="preserve">Instytut zastrzega sobie prawo do żądania uzupełnienia wniosku dotyczącego wypożyczenia o opis warunków wystawienniczych w miejscu ekspozycji lub możliwość przeprowadzenia wizji lokalnej na miejscu ekspozycji. 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Wypożyczone Obiekty mogą być użyte wyłącznie zgodnie z celem i na okres ujęty w Umowie i winny być oddane najpóźniej w ostatnim dniu określonym</w:t>
      </w:r>
      <w:r w:rsidRPr="0032631A">
        <w:rPr>
          <w:rFonts w:ascii="Times New Roman" w:hAnsi="Times New Roman" w:cs="Times New Roman"/>
          <w:lang w:val="pl-PL"/>
        </w:rPr>
        <w:br/>
        <w:t>w Umowie.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Biorący w wypożyczenie zobowiązany jest do pokrycia wszelkich kosztów wypożyczenia Obiektów będących przedmiotem Umowy, w tym pakowania i transportu w obie strony.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120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Biorącemu w wypożyczenie nie przysługuje prawo wypożyczania Obiektów osobom trzecim.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120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Biorący w wypożyczenie zobowiązuje się do wystawiania i przechowywania wypożyczonych Obiektów z należytą starannością, zgodnie z warunkami określonymi w Umowie. Optymalne warunki przechowywania i ekspozycji określa poniższa tabela:</w:t>
      </w: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tbl>
      <w:tblPr>
        <w:tblpPr w:leftFromText="141" w:rightFromText="141" w:vertAnchor="text" w:horzAnchor="margin" w:tblpXSpec="center" w:tblpY="193"/>
        <w:tblW w:w="636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6"/>
        <w:gridCol w:w="1337"/>
        <w:gridCol w:w="2274"/>
        <w:gridCol w:w="1825"/>
      </w:tblGrid>
      <w:tr w:rsidR="00927202" w:rsidRPr="0032631A" w:rsidTr="00C235D7"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Temperatura</w:t>
            </w:r>
          </w:p>
          <w:p w:rsidR="00927202" w:rsidRPr="0032631A" w:rsidRDefault="00927202" w:rsidP="00C235D7">
            <w:pPr>
              <w:pStyle w:val="Zawartotabeli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Cº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 xml:space="preserve">Względna wilgotność </w:t>
            </w:r>
          </w:p>
          <w:p w:rsidR="00927202" w:rsidRPr="0032631A" w:rsidRDefault="00927202" w:rsidP="00C235D7">
            <w:pPr>
              <w:pStyle w:val="Zawartotabeli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RH (%)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Natężenie światła</w:t>
            </w:r>
          </w:p>
          <w:p w:rsidR="00927202" w:rsidRPr="0032631A" w:rsidRDefault="00927202" w:rsidP="00C235D7">
            <w:pPr>
              <w:pStyle w:val="Zawartotabeli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(Lux)</w:t>
            </w:r>
          </w:p>
        </w:tc>
      </w:tr>
      <w:tr w:rsidR="00927202" w:rsidRPr="0032631A" w:rsidTr="00C235D7"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Drewno</w:t>
            </w:r>
          </w:p>
        </w:tc>
        <w:tc>
          <w:tcPr>
            <w:tcW w:w="1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18 – 22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50±5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do 200</w:t>
            </w:r>
          </w:p>
        </w:tc>
      </w:tr>
      <w:tr w:rsidR="00927202" w:rsidRPr="0032631A" w:rsidTr="00C235D7"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 xml:space="preserve">Papier </w:t>
            </w:r>
          </w:p>
        </w:tc>
        <w:tc>
          <w:tcPr>
            <w:tcW w:w="1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18 – 22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55±5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do 50</w:t>
            </w:r>
          </w:p>
        </w:tc>
      </w:tr>
      <w:tr w:rsidR="00927202" w:rsidRPr="0032631A" w:rsidTr="00C235D7"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Skóra</w:t>
            </w:r>
          </w:p>
        </w:tc>
        <w:tc>
          <w:tcPr>
            <w:tcW w:w="1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18 – 22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55±5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do 200</w:t>
            </w:r>
          </w:p>
        </w:tc>
      </w:tr>
      <w:tr w:rsidR="00927202" w:rsidRPr="0032631A" w:rsidTr="00C235D7"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Tkaniny</w:t>
            </w:r>
          </w:p>
        </w:tc>
        <w:tc>
          <w:tcPr>
            <w:tcW w:w="1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18 – 22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50±5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do 50</w:t>
            </w:r>
          </w:p>
        </w:tc>
      </w:tr>
      <w:tr w:rsidR="00927202" w:rsidRPr="0032631A" w:rsidTr="00C235D7">
        <w:tc>
          <w:tcPr>
            <w:tcW w:w="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Metal</w:t>
            </w:r>
          </w:p>
        </w:tc>
        <w:tc>
          <w:tcPr>
            <w:tcW w:w="1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18 – 22</w:t>
            </w:r>
          </w:p>
        </w:tc>
        <w:tc>
          <w:tcPr>
            <w:tcW w:w="2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do 45</w:t>
            </w:r>
          </w:p>
        </w:tc>
        <w:tc>
          <w:tcPr>
            <w:tcW w:w="18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:rsidR="00927202" w:rsidRPr="0032631A" w:rsidRDefault="00927202" w:rsidP="00C235D7">
            <w:pPr>
              <w:pStyle w:val="Zawartotabeli"/>
              <w:spacing w:before="57" w:after="57"/>
              <w:rPr>
                <w:rFonts w:ascii="Times New Roman" w:hAnsi="Times New Roman" w:cs="Times New Roman"/>
              </w:rPr>
            </w:pPr>
            <w:r w:rsidRPr="0032631A">
              <w:rPr>
                <w:rFonts w:ascii="Times New Roman" w:hAnsi="Times New Roman" w:cs="Times New Roman"/>
              </w:rPr>
              <w:t>300 - 500</w:t>
            </w:r>
          </w:p>
        </w:tc>
      </w:tr>
    </w:tbl>
    <w:p w:rsidR="00927202" w:rsidRPr="0032631A" w:rsidRDefault="00927202" w:rsidP="00927202">
      <w:pPr>
        <w:pStyle w:val="Akapitzlist"/>
        <w:spacing w:before="57" w:after="57"/>
        <w:rPr>
          <w:sz w:val="24"/>
          <w:szCs w:val="24"/>
        </w:rPr>
      </w:pPr>
    </w:p>
    <w:p w:rsidR="00927202" w:rsidRPr="0032631A" w:rsidRDefault="00927202" w:rsidP="00927202">
      <w:pPr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suppressAutoHyphens/>
        <w:spacing w:before="57" w:after="57"/>
        <w:ind w:left="1080"/>
        <w:jc w:val="both"/>
        <w:rPr>
          <w:rFonts w:ascii="Times New Roman" w:hAnsi="Times New Roman" w:cs="Times New Roman"/>
          <w:lang w:val="pl-PL"/>
        </w:rPr>
      </w:pP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57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Instytut zastrzega sobie prawo do przeprowadzenia inspekcji warunków ekspozycji i przechowywania wypożyczonych Obiektów w czasie trwania ekspozycji.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57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Biorący w wypożyczenie zobowiązany jest do ubezpieczenia Obiektów od wszelkiego ryzyka na zasadzie „</w:t>
      </w:r>
      <w:proofErr w:type="spellStart"/>
      <w:r w:rsidRPr="0032631A">
        <w:rPr>
          <w:rFonts w:ascii="Times New Roman" w:hAnsi="Times New Roman" w:cs="Times New Roman"/>
          <w:lang w:val="pl-PL"/>
        </w:rPr>
        <w:t>nail</w:t>
      </w:r>
      <w:proofErr w:type="spellEnd"/>
      <w:r w:rsidRPr="0032631A">
        <w:rPr>
          <w:rFonts w:ascii="Times New Roman" w:hAnsi="Times New Roman" w:cs="Times New Roman"/>
          <w:lang w:val="pl-PL"/>
        </w:rPr>
        <w:t xml:space="preserve"> to </w:t>
      </w:r>
      <w:proofErr w:type="spellStart"/>
      <w:r w:rsidRPr="0032631A">
        <w:rPr>
          <w:rFonts w:ascii="Times New Roman" w:hAnsi="Times New Roman" w:cs="Times New Roman"/>
          <w:lang w:val="pl-PL"/>
        </w:rPr>
        <w:t>nail</w:t>
      </w:r>
      <w:proofErr w:type="spellEnd"/>
      <w:r w:rsidRPr="0032631A">
        <w:rPr>
          <w:rFonts w:ascii="Times New Roman" w:hAnsi="Times New Roman" w:cs="Times New Roman"/>
          <w:lang w:val="pl-PL"/>
        </w:rPr>
        <w:t>”. Kopię polisy ubezpieczeniowej należy przekazać do Instytutu co najmniej na trzy dni przed dniem wydania Obiektów.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57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Obiekty, na czas transportu, muszą być zapakowane przy użyciu odpowiednich materiałów zapewniających maksymalne zabezpieczenie przed wszelkimi uszkodzeniami, jakie mogą zaistnieć podczas transportu.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57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Instytut zastrzega sobie prawo do wysłania kuriera z transportem Obiektów na koszt biorącego w wypożyczenie. Kurier nadzoruje pakowanie, transport i rozpakowanie Obiektów oraz umieszczenie ich w miejscu ekspozycji.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57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Wydanie i zwrot Obiektów odbywa się na podstawie protokołu zdawczo-odbiorczego.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57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>Instytut zastrzega sobie prawo żądania odszkodowania za Obiekty uszkodzone, zniszczone lub utracone podczas wypożyczenia.</w:t>
      </w:r>
    </w:p>
    <w:p w:rsidR="00927202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57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 xml:space="preserve">Biorący w wypożyczenie zobowiązany jest niezwłocznie poinformować Instytut o szkodzie lub utracie Obiektów i przesłać szczegółowy raport dotyczący stanu zaistniałych uszkodzeń z pełną dokumentacją fotograficzną lub szczegółowy raport dotyczący okoliczności utraty Obiektów. Raport zostanie przesłany w ciągu trzech dni od zaistnienia szkody. </w:t>
      </w:r>
    </w:p>
    <w:p w:rsidR="00847BD7" w:rsidRPr="0032631A" w:rsidRDefault="00927202" w:rsidP="00927202">
      <w:pPr>
        <w:widowControl w:val="0"/>
        <w:numPr>
          <w:ilvl w:val="1"/>
          <w:numId w:val="1"/>
        </w:numPr>
        <w:suppressAutoHyphens/>
        <w:spacing w:before="57" w:after="57"/>
        <w:jc w:val="both"/>
        <w:rPr>
          <w:rFonts w:ascii="Times New Roman" w:hAnsi="Times New Roman" w:cs="Times New Roman"/>
          <w:lang w:val="pl-PL"/>
        </w:rPr>
      </w:pPr>
      <w:r w:rsidRPr="0032631A">
        <w:rPr>
          <w:rFonts w:ascii="Times New Roman" w:hAnsi="Times New Roman" w:cs="Times New Roman"/>
          <w:lang w:val="pl-PL"/>
        </w:rPr>
        <w:t xml:space="preserve">Instytut zastrzega sobie prawo do powołania dodatkowej inspekcji związanej z zaistniałą szkodą lub utratą Obiektów, złożoną z pracowników Instytutu i ekspertów zewnętrznych, której koszty pokrywa Biorący w wypożyczenie. </w:t>
      </w:r>
    </w:p>
    <w:sectPr w:rsidR="00847BD7" w:rsidRPr="00326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80"/>
    <w:family w:val="swiss"/>
    <w:pitch w:val="variable"/>
    <w:sig w:usb0="910002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92C38"/>
    <w:multiLevelType w:val="multilevel"/>
    <w:tmpl w:val="66AE96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02"/>
    <w:rsid w:val="0032631A"/>
    <w:rsid w:val="00847BD7"/>
    <w:rsid w:val="00927202"/>
    <w:rsid w:val="00A8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48B53-1A71-4308-8CEF-EB64EA8D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202"/>
    <w:pPr>
      <w:spacing w:after="0" w:line="240" w:lineRule="auto"/>
    </w:pPr>
    <w:rPr>
      <w:rFonts w:asciiTheme="minorHAnsi" w:eastAsiaTheme="minorEastAsia" w:hAnsiTheme="minorHAnsi"/>
      <w:szCs w:val="24"/>
      <w:lang w:val="cs-CZ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45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45F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9272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l-PL" w:eastAsia="pl-PL" w:bidi="pl-PL"/>
    </w:rPr>
  </w:style>
  <w:style w:type="paragraph" w:customStyle="1" w:styleId="Zawartotabeli">
    <w:name w:val="Zawartość tabeli"/>
    <w:basedOn w:val="Normalny"/>
    <w:qFormat/>
    <w:rsid w:val="00927202"/>
    <w:pPr>
      <w:widowControl w:val="0"/>
      <w:suppressAutoHyphens/>
    </w:pPr>
    <w:rPr>
      <w:rFonts w:ascii="Liberation Serif" w:eastAsia="Droid Sans Fallback" w:hAnsi="Liberation Serif" w:cs="FreeSans"/>
      <w:color w:val="00000A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3464</Characters>
  <Application>Microsoft Office Word</Application>
  <DocSecurity>0</DocSecurity>
  <Lines>28</Lines>
  <Paragraphs>8</Paragraphs>
  <ScaleCrop>false</ScaleCrop>
  <Company>Żydowski Instytut Historyczny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Batorski</dc:creator>
  <cp:keywords/>
  <dc:description/>
  <cp:lastModifiedBy>Przemysław Batorski</cp:lastModifiedBy>
  <cp:revision>2</cp:revision>
  <dcterms:created xsi:type="dcterms:W3CDTF">2021-02-08T08:27:00Z</dcterms:created>
  <dcterms:modified xsi:type="dcterms:W3CDTF">2021-03-02T14:44:00Z</dcterms:modified>
</cp:coreProperties>
</file>