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rFonts w:ascii="Cambria" w:cs="Cambria" w:eastAsia="Cambria" w:hAnsi="Cambria"/>
          <w:b w:val="1"/>
          <w:smallCaps w:val="0"/>
        </w:rPr>
      </w:pPr>
      <w:r w:rsidDel="00000000" w:rsidR="00000000" w:rsidRPr="00000000">
        <w:rPr>
          <w:rFonts w:ascii="Cambria" w:cs="Cambria" w:eastAsia="Cambria" w:hAnsi="Cambria"/>
          <w:b w:val="1"/>
          <w:smallCaps w:val="0"/>
          <w:rtl w:val="0"/>
        </w:rPr>
        <w:t xml:space="preserve">Wybrane publikacje dotyczące świąt żydowskich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  <w:color w:val="0563c1"/>
          <w:u w:val="singl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Bernstein,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What the Jews believe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New York 1951.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L.II.11854.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Co każdy powinien wiedzieć o judaizmie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red. M. Płazowska, Kraków 2007.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L.II.16059 ; L.II.17980.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H.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Donin,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To be a Jew. A guide to Jewish observance in contemporary life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New York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1991.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L.II.12751.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Gal-Ed,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Księga świąt żydowskich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2005.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L.I.5051.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Ganzfried,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Code of Jewish law : a compilation of Jewish laws and customs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H. E. Goldin, New York 1927. Sygnatura: L.II.12314.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Goodman,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The Purim anthology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Philadelphia 1973. Sygnatura: </w:t>
        <w:tab/>
        <w:t xml:space="preserve">L.II.19470.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Goodman,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The Rosh Hashanah anthology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Philadelphia 1973. Sygnatura: L.II.11513.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Goodman,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The Yom Kippur anthology,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Philadelphia 1971. Sygnatura: L.II.11507.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Gubbay, A. Levy,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Jewish book of why and what : a guide to Jewish tradition, custom, practice and belief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1989. Sygnatura: L.II.4642.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Jędrzejewski,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Pesach,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Los Angeles ; Warszawa 2006.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L.III.2986.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Judaizm bez tajemnic,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oprac. P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Jędrzejewski, red. S. Pecaric, Kraków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2009.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L.II.17485.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Kameraz-Kos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Święta i obyczaje żydowskie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. R. Gromacka, Warszawa 2002.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L.II.13915.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N.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Kertzer,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What is a Jew?,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Cleveland, OH 1953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L.II.12452.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Kirste, H. Schultze, U. Tworuschka,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Święta wielkich religii : kalendarz międzyreligijny : przegląd synoptyczny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tł., bibliogr.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M. M. Dziekan, M. Mejor, P. Pachciarek, Warszawa 1998. Sygnatura: L.I.4397.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Krekulová,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Święta żydowskie. Obyczaje i potrawy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tł. E. Czekajowa,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Warszawa 1999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L.III.2210.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Lewin,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Z historii i tradycji. Szkice z dziejów kultury żydowskiej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1983. Sygnatura: L.I.252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;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L.I.4263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;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L.I.4801 ; L.I.6195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Lilientalowa,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Święta żydowskie w przeszłości i teraźniejszości, cz. 1,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Kraków 1909. Sygnatura: L.III.537.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Lilientalowa,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Święta żydowskie w przeszłości i teraźniejszości, cz. 2,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Kraków 1919. Sygnatura: L.III.537 ; L.III.935.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Lilientalowa,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Święta żydowskie w przeszłości i teraźniejszości, cz. 3,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Kraków 1914. Sygnatura: </w:t>
        <w:tab/>
        <w:t xml:space="preserve">L.III.3452.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Megilat Ester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: z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awiera transliteracje, tłumaczenie na język polski oraz opis tradycji na święto Purim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. Warszawa 2011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Sygnatura: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L.II.19072.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M.-A. Ouaknin,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Symbols of Judaism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M.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Tompkins, L. Ayres, New York 2000. Sygnatura: L.II.15259.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Purym : Księga Estery, legendy, opowiadania, inscenizacje, wiersz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J. Jawan, Warszawa 1930. Sygnatura: L.I.6123.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Schauss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The Jewish festivals from their beginnings to our own day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S. Jaffe,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New York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1938.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L.II.11593.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Siemieński,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Księga świąt i obyczajów żydowskich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. Warszawa 1993.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L.II.6325.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Smykowska,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Święta żydowskie,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Warszawa 2010.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L.II.17866.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Szczepanowicz, D.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Szczepanowicz,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Kuchnia żydowska : święta, obyczaje i potrawy świąteczne,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Kraków 2011.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L.II.19682.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Święta i obyczaje żydowskie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Centrum Edukacyjne Kultury Żydowskiej, Warszawa 2002. Sygnatura: </w:t>
        <w:tab/>
        <w:t xml:space="preserve">L.II 15603 ; L.II 15604.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Y.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Vainstein,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The cycle of the Jewish year. A study of the festivals and of selections from the liturgy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Jerusalem 1964.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L.II.12778.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P. de Vries,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Obrzędy i symbole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A. Borowski, Kraków 1999. Sygnatura: L.II.11438.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Vul,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Evrejskij god,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Ierusalim 1998.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L.III.3626.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108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Die Wunder von Chanukka. Jüdische Fest- und Feiertage in Geschichten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red. I. Skirecki, Berlin 2000.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L.III.3132.</w:t>
      </w:r>
      <w:r w:rsidDel="00000000" w:rsidR="00000000" w:rsidRPr="00000000">
        <w:rPr>
          <w:rtl w:val="0"/>
        </w:rPr>
      </w:r>
    </w:p>
    <w:sectPr>
      <w:pgSz w:h="15840" w:w="12240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10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18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520" w:hanging="25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2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9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680" w:hanging="46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54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61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840" w:hanging="68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uipNDqr+d5JnrUtLwPrxycWLyg==">AMUW2mXAp/yxJiagTe2dl6gmHYwkLnGhRspYaF2w2Atl2IhIkdlH4IdQ93gSDpmv414bBeArKcpGWMhQ0RwSgarlG6PcHSq/vnBTe9j7jUxSgL5z3dsulM0=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