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haskali i judaizmu reformowanego,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R.T. Alpert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Whose Torah? A concise guide to progressive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; London 2008. Sygnatura: L.I.6129.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D.T. Bermann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Produktivierungsmythen und Antisemitismus. Assimilatorische und zionistische Berufsumschichtung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Augsburg 1971. Sygnatura: L.II.3400.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Borchsenius,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chains are broken. The story of Jewish emancipation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1965. Sygnatura: L.II.1805.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E.B. Borowitz,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Liberal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1984. Sygnatura: L.II.12579.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J.A. Dauber,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Antonio’s devils. Writers of the Jewish Enlightenment and the birth of modern Hebrew and Yiddish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Stanford 2004. Sygnatura: L.II.19464.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A.M. Eisen,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Rethinking modern Judaism. Ritual, commandment, community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Chicago 1998. Sygnatura: L.II.12178.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Feldman,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American reform Rabbi. A profile of a profession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1965. Sygnatura: L.II.11504.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Frankfurter,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Stillstand und Fortschritt. Zur Würdigung der Partheien im heutigen Judenthum. Mit besonderer Rücksicht auf das Gebetbuch nach dem Gebrauche des neuen Israelitischen Tempels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Hamburg 1841. Sygnatura: L.II.10359.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Galas,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Rabin Markus Jastrow i jego wizja reformy judaizmu. Studium z dziejów judaizmu w XIX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2007. Sygnatura: L.II.16564.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Goldfarb,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Emancipation. How liberating Europe’s Jews from the ghetto led to revolution and renaissance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Melbourne 2009. Sygnatura: L.II.22251.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Goldmann,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Zionismus oder Liberalismus, Atheismus oder Religion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1911. Sygnatura: L.I 3373.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Goldszmit,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 prawo do szacunku : wybór pism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L.II.21129.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Guesnet,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Polnische Juden im 19. Jahrhundert. Lebensbedingungen, Rechtsnormen und Organisation im Wandel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Köln 1998. Sygnatura: L.II.11395.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Himmelfarb,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Jews of modernity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1973. Sygnatura: L.II.12335.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E.G. Hirsch,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 address at the fifteenth anniversary celebration of Free Synagogue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1922. Sygnatura: L.I.4404.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S.R. Hirsch,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Neunzehn Briefe über Judentum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1911. Sygnatura: 43029.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Holdheim,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Geschichte der Entstehung und Entwickelung der jüdischen Reformgemeinde in Berlin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1857. Sygnatura: L.II.13421.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Holdheim,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Neue Sammlung jüdischer Predigten. Worunter über alle Feste des Jahres gehalten im Gotteshaus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1852. Sygnatura: 43461.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Justice, justice shalt thou pursue. Papers assembled on the occasion of the 75th birthday of the Reverend Dr. Julius Mark [...],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R.B. Sobel, S. Wallach, New York 1975. Sygnatura: L.II.12825.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 Zeitschrift für Wissenschaft und Leben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Geiger, Breslau 1867. Sygnatura: 43073.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Kozińska-Witt,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Krakauer Jüdische Reformgemeinde 1864-1874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1999. Sygnatura: L.II.12132 ; L.II.18059.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Lederman J.,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La philosophie des Lumièrs dans l’exégèse de Moses Mendelssohn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2013. Sygnatura: L.II.19552.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Lewkowitz,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Das Judentum und die geistigen Strömungen des 19. Jahrhunderts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Breslau 1935. Sygnatura: L.II.9147.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Luz,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Parallels meet. Religion and nationalism in the early Zionist movement (1882-1904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Philadelphia 1988. Sygnatura: L.II.11870.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Łastik,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oświecenia żydowskiego. Ludzie i fakty,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1961. Sygnatura: L.II.1150 ; L.II.1151 ; L.II.22455.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Mahler R.,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Hasidism and the Jewish enlightenment. Their confrontation in Galicia and Poland in the first half of nineteenth century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1985. Sygnatura: L.II.12534.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Mahler,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history of modern Jewry 1780-1815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1971. Sygnatura: L.II.525.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Mahler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Jewish emancipation. A selection of documents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1942. Sygnatura: L.II.1654.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M.A. Meyer,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Response to modernity. A history of the Reform Movement in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1988. Sygnatura: L.II.15550.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Nadler,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Rationalism, romanticism, rabbis and rebbes. Inaugural lecture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1992. Sygnatura: L.II.6295.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Ochman,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Filozofia Oświecenia żydowskiego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2000. Sygnatura: L.II.13049.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Pittsburgh Rabbinical Conference Proceedings of the Pittsburg Rabbinical Conference, November 16, 17, 18, 1885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1923. Sygnatura: L.II.12594.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Politique et religion dans le judaïsme moderne. Des communautés à l'émancipation,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D. Tollet, Paris 1987. Sygnatura: L.II.14316.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Proszyk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Życie według wartości. Żydowski liberalizm, ortodoksja i syjonizm w Bielsku i Białej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Jawor 2012. Sygnatura: L.II.19346.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Reform Judaism. A historical perspective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J.L. Blau, New York 1973. Sygnatura: L.II.12704.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Rooda,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lively community. The liberal Jewish Community of Amsterdam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Ramat Gan 2007. Sygnatura: L.II.16726.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S.D. Schwartzman,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Reform Judaism in the making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1962. Sygnatura: L.II.12769.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Weg, oder Die Weisheit der Rabbiner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1910. Sygnatura: 43465.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uses of tradition. Jewish continuity in the modern era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Wertheimer, New York 1998. Sygnatura: L.II.11881.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Wodziński,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Oświecenie żydowskie w Królestwie Polskim wobec chasydyzmu. Dzieje pewnej idei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2003. Sygnatura: L.II.13977.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2C34C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eAU0cKt2GqBVHDAArdcxo6KnA==">AMUW2mXuICttqUAjQMaCw8J+YqEfdXqwcfnzGv6v9YQG95gKxHd2KcFPQeCJC5TsKw+wWO8Ie6UEIhezxV2xoj8Zinw4uVmF5HYDXl+0lttJV6V2oyjI2Qs=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2020-08-21T09:33:00Z</dcterms:created>
  <dc:creator>Katarzyna Wieczorek</dc:creator>
</cp:coreProperties>
</file>