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poświęcone Szmulowi Zygielbojmowi,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Blatman,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On a mission against all odds: Samuel Zygelbojm in London (April 1942–May 1943),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[w:] „Yad Vashem Studies” vol. 20, Jerusalem 1990. Sygnatura: PL.2.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Blatman,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Reakcje żydowskich działaczy i organizacji żydowskich na wiadomości z Polski (1942–1943)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[w:] „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Akcja Reinhardt”. Zagłada Żydów w Generalnym Gubernatorstwie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Libionka, Warszawa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L.II.15244 ; L.II.15455.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latman,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Zygielbojm, Shmuel Mordkhe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[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:]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YIVO  Encyclopedia of Jews in Eastern Europe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G. D. Hu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ndert,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New York 2010,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L.III.3149.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Cała,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Zygielbojm Szmul Mordechaj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[w:] A. Cała, H. Węgrzynek, G. Zalewska,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Historia i kultura Żydów polskich. Słownik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2000.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L.II.12380 ; L.II.12381 ; L.II.12631 ; L.II.13244.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Rowiński,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Zygielbojma śmierć i życie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ł.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oprac.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Bielecki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L.II.14869.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Rowiński,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Zygielbojms Reise : eine Spurensuche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A. Karaś, Warszawa ; Osnabrück 2004. Sygnatura: L.II.14868.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Stola,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Zygielbojm Szmul Mordechaj,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[w:]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Polski słownik judaistyczny, T. 1-2,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Z. Borzymińska, R. Żebrowski, Warszawa 2003. Sygnatura: L.II.13990 ; L.II.14129 ; L.II.14130 ; L.II.16113.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Szmul Zygielbojm : milczeć nie mogę i żyć nie mogę,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Z. Benesz-Goldfinger, Warszawa 2018. Sygnatura: L.II.21201 ; L.II.21202 ; L.II.21194.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Tombs, „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Morituri vos salutant”: Szmul Zygielbojm’s suicide in May 1943 and the international socialist community in London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[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:]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Holocaust and Genocide Studies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”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vol. 14,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Oxford ; New York 2000.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PL.365.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Trębacz,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„Ręka pisze zupełnie co innego, niż serce czuje”. Listy rodziny do Szmula Zygielbojma, 1940–1941,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[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:]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“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Kwartalnik Historii Żydów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”,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2019.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PL.286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Weinstock,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Sur Shmuel Zygielbojm: témoignages, récits autobiographiques, correspondance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[w:]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„Le Monde Juif”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vol. 158, Paris 1996. Sygnatura: PL.115.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20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Żbikowski,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Zygielbojm Samuel Artur,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[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:]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Żydzi w Polsce. Leksykon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J. Tomaszewski, A. Żbikowski, Warszawa 2001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L.II.13288 ; L.II.20015.</w:t>
      </w:r>
    </w:p>
    <w:sectPr>
      <w:pgSz w:h="15840" w:w="12240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O9WjtKxjXf2g3OM+QtM3kM66FA==">AMUW2mURXi/gBnd8rOtSychigCWVYmeoi0K3u8Yi3vHKj0yKX+HmWz2dFNmcirxti1yO5Rfcef8OEqJ8EgL65UsuIWw6LbCtVbf6CGC8cptQq2WEtu2/hsw=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