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Wybrane materiały dotyczące „Akcji Reinhardt” ze zbiorów biblioteki ŻIH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smallCaps w:val="0"/>
        </w:rPr>
      </w:pP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Więcej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publik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smallCaps w:val="0"/>
            <w:color w:val="0563c1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Akcja Reinhardt. Zagłada Żydów w Generalnym Gubernatorstwie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red. 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Libionk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L.II.15244 ; L.II.15455.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Angrick,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"Aktion 1005" - Spurenbeseitigung von NS-Massenverbrechen 1942-1945. Eine "geheime Reichssache"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. 1-2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Göttingen 2018.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L.II.21673 ; L.II.21674 ; L.II.21675 ; L.II.21676.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Arad,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Operation Reinhard death camps. Belzec, Sobibor, Treblinka,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Bloomington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;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Jerusalem 2018.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L.II.21086.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Bauer,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Przemy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leć zagładę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Giebułtowski,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Surewicz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Warszawa 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L.II.20416 ; L.II.20417.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W.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Beorn,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Holocaust in Eastern Europe. At the epicenter of the Final Solution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London ; New York 2018.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L.II.21033.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Berge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Experten der Vernichtung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d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as T4-Reinhardt-Netzwerk in der Lagern Belzec, Sobibor und Treblinka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Hamburg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L.II.19962 ; L.II.19963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Bruder,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Das eigene Schicksal selbst bestimmen : Fluchten aus Deportationszügen der "Aktion Reinhardt" in Polen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Hamburg ; Münster 2019. Sygnatura: L.II.22135.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Cesarani,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Ostateczne rozwiązanie. Losy Żydów w latach 1933-1949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Bażyńska-Chojnacka, 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Chojnacki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2019.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L.II.21746 ; L.II.21747 ; L.II.22541.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Confino,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 world without Jews. The Nazi imagination from persecution to genocide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Haven ; London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L.II.20694.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"final solution",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Cesarani, London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L.II.14470.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Friedländer,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Czas eksterminacji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n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azistowskie Niemcy i Żydzi 1939-1945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Kupisz,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Nowak, 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Masłowski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Warszawa 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L.II.18235.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Hilberg,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Sprawcy, ofiary, świadkowie. Zagłada Żydów 1933-1945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Giebułtowski, Warszawa 2007. Sygnatura: L.II.16356.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Hilberg,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Zagłada Żydów europejskich, T. 1-3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Giebułtowski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L.III.3701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L.III.3702, L.III.3703 ; L.III.4070, L.III.4071, L.III.4072.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Holocaust encyclopedia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Laqueur, New Haven 2001.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 L.III.2355.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Holocaust in the Ukraine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Zabarko, London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L.II.15279 ; L.II.18126.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Holocaust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o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rigins, implementation, aftermath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Bartov, London 2000.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L.II.12571.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Holocaust und Völkermorde. Die Reichweite des Vergleichs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Frankfurt am Main ; New York 2012.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L.II.19251.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Kershaw,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Hitler, Niemcy i Ostateczne Rozwiązanie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Bartołd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Poznań 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L.II.18110.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Lehnstaedt,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Czas zabijania : Bełżec, Sobibór, Treblinka i Akcja Reinhardt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Nowacki, Warszawa 2017. Sygnatura: L.II.21174.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Lehnstaedt,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Kern des Holocaust : Bełżec, Sobibór, Treblinka und Aktion Reinhardt,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München 2017. Sygnatura: L.II.20768.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Levin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Żydzi wschodnioeuropejscy podczas II wojny światowej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E. Balcerek, Warszawa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L.II.15294.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Libionka,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Zagłada Żydów w Generalnym Gubernatorstwie. Zarys problematyki,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Lublin 2017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L.II.20811 ; L.II.20824.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Longerich,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Holocaust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he Nazi persecution and murder of the Jews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Oxford ; New York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012.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L.II.22275.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Rees,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Holokaust. Nowa historia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Ł. Praski,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Warszawa 2018.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L.II.21177 ; L.II.22546.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Roseman,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Wannsee Conference and the Final Solution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L.II.15687.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unknown black book. The Holocaust in the German-occupied Soviet territories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Rubenstein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Altman, Bloomington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L.II.22255.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Wistrich,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Hitler and the Holocaust. How and why the Holocaust happened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London 2002.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L.II.22291.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Zagłada Żydów w czasie II wojny światowej (1939-1945)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oprac. J. Grzesik,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Lublin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L.II.16177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iQy7pgro9RCrQSWVR9olxX18w==">AMUW2mVkdRSeIoSHOeGCMUP3K5lIxHfYl0aXuXXsy2ohQBhA5xKYdZ4YM+AScUA9An30rAAGETIVUYCljieTvvg4wySB2GaCZhKSa20JXrvD7sPR9LbGS6o=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