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mordu rytualnego,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A.N. Ačkasov,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Zloj navět. Obvinenìe evreev v upotreblenìi christìanskoj krovi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Kìev 1912. Sygnatura: L.II.5767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Chejn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., Iudaizm i krov' (neskol'ko slov v otvet na krovavyj navet)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Sankt-Peterburg 1913. Sygnatura:  L.II.5758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Chwolson,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Blutanklage und sonstige mittelalterliche Beschuldigungen der Juden. Eine historische Untersuchung nach den Quellen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1901. Sygnatura: L.II.10445 ; L.II.9064.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A. Czołowski,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Mord rytualny. Epizod z przeszłości Lwowa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1998. Sygnatura: L.II.10991 ; L.II.18119.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Du pogrom de Kichinev a l'affaire Beilis. Les dessous des machinations antisémites en Russie Tsariste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1963. Sygnatura: L.II.21840.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Guldon,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Procesy o mordy rytualne w Polsce w XVI-XVIII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Kielce 1995. Sygnatura: L.II.10681 ; L.II.7585 ; L.II.7586.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A.E.K. Hellwig,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Ritualmord und Blutaberglaube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Minden in Westfalen 1914. Sygnatura: L.I.5547.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Hilsnerova aféra a česka společnost 1899-1999. Sbornik přednásek z konference na Univerzitě Karlově v Praze [...]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Pojar, Praha 1999. Sygnatura: L.II.12547.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Frank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Der Ritualmord. Vor den Gerichtshofen der Wahrheit und der Gerechtigkeit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Regensburg 1901. Sygnatura: L.II.5455.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Gaste,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Wahrheit über die jüdischen Ritualmorde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1930. Sygnatura: L.II.8872.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Górecki,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Najgorsi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1947. Sygnatura: L.II.338.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Juden und das Christenblut. Geschichtliche Beiträge zur Frage des Jüdischen Blutrituals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Leipzig 1892. Sygnatura: 41689.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Klemens XIV,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ritual murder : libel and the Jew. The report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1935. Sygnatura: L.III.848.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Legende vom Ritualmord. Zur Geschichte der Blutbeschuldigung gegen 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1993. Sygnatura: L.II.10693.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Merz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Die Blutrache bei den Israeliten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Leipzig 1916. Sygnatura: L.I.3516.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Mommert,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Ritualmord bei den Talmud-Juden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Leipzig 1905. Sygnatura: L.II.9241.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Mommert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Widerlegung der Widersprüche frommer Juden und Christen gegen die Blutbeschuldigung der 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Leipzig 1906. Sygnatura: L.II.9240.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Mord rytualny. Legenda w historii europejskiej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 Buttaroni, S. Musiał, Kraków 2003. Sygnatura: L.II.14168.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Musiał,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Czarne jest czarne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2003. Sygnatura: L.I.5667.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Po-Chia Hsia,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Trient 1475. Geschichte eines Ritualmordprozesses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1997. Sygnatura: L.II.10596.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Ritual murder. Legend in European history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2003. Sygnatura: L.II.14169.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Schramm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Der jüdische Ritualmord. Eine historische Untersuchung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1943. Sygnatura: L.II.3681.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M.I. Seiden,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paradox of hate. A study in ritual murder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South Brunswick 1967. Sygnatura: L.II.12816.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H.W. Smith,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Opowieść rzeźnika. Morderstwo i antysemityzm w Chojnicach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Chojnice 2015. Sygnatura: L.II.20312.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Sprava Bejlisa. Pogljad iz sogodennja. Tezi mižarodnoï naukovoï konferenciï do 80-riččja zakinčennja procesu u spravi Bejlisa = The Beyli's trial. Current perspectives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I. F. Kuras, Kiïv 1994. Sygnatura: L.I.3633.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Stosunki chrześcijańsko-żydowskie w historii, sztuce i pamięci. Europejski kontekst dzieł w katedrze sandomierskiej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Teter, U. Stępień, Sandomierz 2013. Sygnatura: L.II.19923.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H.L. Strack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Das Blut im Glauben und Aberglauben der Menschheit. Mit besonderer Berücksichtigung der "Volksmedizin" und des "jüdischen Blutritus"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München 1900. Sygnatura: L.II.9202.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Taradel,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L'accusa del sangue. Storia politica di un mito antisemita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Roma 2002. Sygnatura: L.II.13610.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Tokarska-Bakir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Legendy o krwi. Antropologia przesądu,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2008. Sygnatura: L.II.16919.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Tokarska-Bakir,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Pod klątwą. Społeczny portret pogromu kieleckiego,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2018. Sygnatura:  L.II.20987 ; L.II.20988.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Utikal,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jüdische Ritualmord. Eine nichtjüdische Klarstellung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Breslau 1935. Sygnatura: L.I.3116.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Węgrzynek,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"Czarna legenda" Żydów. Procesy o rzekome mordy rytualne w dawnej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1995. Sygnatura: L.II.10066.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Zaderecki,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Legenda krwi. Analiza krytyczno-historyczna tzw. "mordu rytualnego"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1947. Sygnatura: L.II.336 ; L.II.337.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Żyndul,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Kłamstwo krwi. Legenda mordu rytualnego na ziemiach polskich w XIX i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2011. Sygnatura: L.II.18915.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/YnGSJem9b8Asa4VYPFOUtpqQ==">AMUW2mUVOzeJF2T8Vb3FA27wdLJjV7Nf6QYj166Uj3knZOGcG+0eTTwiVy/64fED6yUjv097qbla6w1ftY11e84e/3Bb/EouRUgIoUv8WFGl5sNed9VjRFhLe7FZf/I1jO36VUPiLMdm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2020-08-17T12:16:00Z</dcterms:created>
  <dc:creator>Katarzyna Wieczorek</dc:creator>
</cp:coreProperties>
</file>