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038" w:rsidRPr="00285B15" w:rsidRDefault="00EA4038" w:rsidP="00EA4038">
      <w:pPr>
        <w:widowControl w:val="0"/>
        <w:suppressAutoHyphens/>
        <w:spacing w:before="57" w:after="57"/>
        <w:ind w:left="6372" w:firstLine="708"/>
        <w:rPr>
          <w:rFonts w:ascii="Garamond" w:hAnsi="Garamond" w:cs="Times New Roman"/>
          <w:b/>
          <w:color w:val="000000" w:themeColor="text1"/>
        </w:rPr>
      </w:pPr>
      <w:r>
        <w:rPr>
          <w:rFonts w:ascii="Garamond" w:hAnsi="Garamond"/>
          <w:b/>
          <w:color w:val="000000" w:themeColor="text1"/>
        </w:rPr>
        <w:t>Appendix 4</w:t>
      </w:r>
    </w:p>
    <w:p w:rsidR="00EA4038" w:rsidRPr="00BD58BD" w:rsidRDefault="00EA4038" w:rsidP="00EA4038">
      <w:pPr>
        <w:widowControl w:val="0"/>
        <w:suppressAutoHyphens/>
        <w:spacing w:before="57" w:after="57"/>
        <w:jc w:val="both"/>
        <w:rPr>
          <w:rFonts w:ascii="Garamond" w:hAnsi="Garamond" w:cs="Times New Roman"/>
          <w:b/>
          <w:color w:val="000000" w:themeColor="text1"/>
          <w:lang w:val="en-US"/>
        </w:rPr>
      </w:pPr>
    </w:p>
    <w:p w:rsidR="00EA4038" w:rsidRPr="00285B15" w:rsidRDefault="00EA4038" w:rsidP="00EA4038">
      <w:pPr>
        <w:spacing w:before="57" w:after="57"/>
        <w:jc w:val="center"/>
        <w:rPr>
          <w:rFonts w:ascii="Garamond" w:hAnsi="Garamond" w:cs="Times New Roman"/>
          <w:b/>
          <w:bCs/>
        </w:rPr>
      </w:pPr>
      <w:r>
        <w:rPr>
          <w:rFonts w:ascii="Garamond" w:hAnsi="Garamond"/>
          <w:b/>
          <w:bCs/>
        </w:rPr>
        <w:t>Regulations for loaning items from collections of the E. Ringelblum Jewish Historical Institute</w:t>
      </w:r>
    </w:p>
    <w:p w:rsidR="00EA4038" w:rsidRPr="00006B21" w:rsidRDefault="00EA4038" w:rsidP="00EA4038">
      <w:pPr>
        <w:spacing w:before="57" w:after="57"/>
        <w:ind w:left="1080"/>
        <w:jc w:val="both"/>
        <w:rPr>
          <w:rFonts w:ascii="Garamond" w:hAnsi="Garamond"/>
          <w:lang w:val="en-US"/>
        </w:rPr>
      </w:pPr>
    </w:p>
    <w:p w:rsidR="00EA4038" w:rsidRPr="00285B15" w:rsidRDefault="00EA4038" w:rsidP="00EA4038">
      <w:pPr>
        <w:widowControl w:val="0"/>
        <w:numPr>
          <w:ilvl w:val="1"/>
          <w:numId w:val="1"/>
        </w:numPr>
        <w:suppressAutoHyphens/>
        <w:spacing w:before="57" w:after="120"/>
        <w:jc w:val="both"/>
        <w:rPr>
          <w:rFonts w:ascii="Garamond" w:hAnsi="Garamond" w:cs="Times New Roman"/>
        </w:rPr>
      </w:pPr>
      <w:r w:rsidRPr="00006B21">
        <w:rPr>
          <w:rFonts w:ascii="Garamond" w:hAnsi="Garamond"/>
        </w:rPr>
        <w:t xml:space="preserve">The </w:t>
      </w:r>
      <w:r>
        <w:rPr>
          <w:rFonts w:ascii="Garamond" w:hAnsi="Garamond"/>
        </w:rPr>
        <w:t>Emanuel Ringelblum Jewish Historical Institute loans items in JHI collections (Items) pursuant to a written request to the Director of the Institute and a loan agreement (Agreement).</w:t>
      </w:r>
    </w:p>
    <w:p w:rsidR="00EA4038" w:rsidRPr="00285B15" w:rsidRDefault="00EA4038" w:rsidP="00EA4038">
      <w:pPr>
        <w:widowControl w:val="0"/>
        <w:numPr>
          <w:ilvl w:val="1"/>
          <w:numId w:val="1"/>
        </w:numPr>
        <w:suppressAutoHyphens/>
        <w:spacing w:before="57" w:after="120"/>
        <w:jc w:val="both"/>
        <w:rPr>
          <w:rFonts w:ascii="Garamond" w:hAnsi="Garamond" w:cs="Times New Roman"/>
        </w:rPr>
      </w:pPr>
      <w:r>
        <w:rPr>
          <w:rFonts w:ascii="Garamond" w:hAnsi="Garamond"/>
        </w:rPr>
        <w:t>The Agreement sets out all the details of the loan not contained in these regulations.</w:t>
      </w:r>
    </w:p>
    <w:p w:rsidR="00EA4038" w:rsidRPr="00285B15" w:rsidRDefault="00EA4038" w:rsidP="00EA4038">
      <w:pPr>
        <w:widowControl w:val="0"/>
        <w:numPr>
          <w:ilvl w:val="1"/>
          <w:numId w:val="1"/>
        </w:numPr>
        <w:suppressAutoHyphens/>
        <w:spacing w:before="57" w:after="120"/>
        <w:jc w:val="both"/>
        <w:rPr>
          <w:rFonts w:ascii="Garamond" w:hAnsi="Garamond" w:cs="Times New Roman"/>
        </w:rPr>
      </w:pPr>
      <w:r>
        <w:rPr>
          <w:rFonts w:ascii="Garamond" w:hAnsi="Garamond"/>
        </w:rPr>
        <w:t xml:space="preserve">The loan request should be submitted at least three months before the expected date of the loan. </w:t>
      </w:r>
    </w:p>
    <w:p w:rsidR="00EA4038" w:rsidRPr="00285B15" w:rsidRDefault="00EA4038" w:rsidP="00EA4038">
      <w:pPr>
        <w:widowControl w:val="0"/>
        <w:numPr>
          <w:ilvl w:val="1"/>
          <w:numId w:val="1"/>
        </w:numPr>
        <w:suppressAutoHyphens/>
        <w:spacing w:before="57" w:after="120"/>
        <w:jc w:val="both"/>
        <w:rPr>
          <w:rFonts w:ascii="Garamond" w:hAnsi="Garamond" w:cs="Times New Roman"/>
        </w:rPr>
      </w:pPr>
      <w:r>
        <w:rPr>
          <w:rFonts w:ascii="Garamond" w:hAnsi="Garamond"/>
        </w:rPr>
        <w:t xml:space="preserve">A request for a loan outside Poland should be submitted at least five months before the expected date of the loan. </w:t>
      </w:r>
    </w:p>
    <w:p w:rsidR="00EA4038" w:rsidRPr="00285B15" w:rsidRDefault="00EA4038" w:rsidP="00EA4038">
      <w:pPr>
        <w:widowControl w:val="0"/>
        <w:numPr>
          <w:ilvl w:val="1"/>
          <w:numId w:val="1"/>
        </w:numPr>
        <w:suppressAutoHyphens/>
        <w:spacing w:before="57" w:after="120"/>
        <w:jc w:val="both"/>
        <w:rPr>
          <w:rFonts w:ascii="Garamond" w:hAnsi="Garamond" w:cs="Times New Roman"/>
        </w:rPr>
      </w:pPr>
      <w:r>
        <w:rPr>
          <w:rFonts w:ascii="Garamond" w:hAnsi="Garamond"/>
        </w:rPr>
        <w:t>The loan request should indicate:</w:t>
      </w:r>
    </w:p>
    <w:p w:rsidR="00EA4038" w:rsidRPr="00285B15" w:rsidRDefault="00EA4038" w:rsidP="00EA4038">
      <w:pPr>
        <w:widowControl w:val="0"/>
        <w:numPr>
          <w:ilvl w:val="2"/>
          <w:numId w:val="1"/>
        </w:numPr>
        <w:suppressAutoHyphens/>
        <w:spacing w:before="57" w:after="120"/>
        <w:jc w:val="both"/>
        <w:rPr>
          <w:rFonts w:ascii="Garamond" w:hAnsi="Garamond" w:cs="Times New Roman"/>
        </w:rPr>
      </w:pPr>
      <w:r>
        <w:rPr>
          <w:rFonts w:ascii="Garamond" w:hAnsi="Garamond"/>
        </w:rPr>
        <w:t>The entity borrowing the Item,</w:t>
      </w:r>
    </w:p>
    <w:p w:rsidR="00EA4038" w:rsidRPr="00285B15" w:rsidRDefault="00EA4038" w:rsidP="00EA4038">
      <w:pPr>
        <w:widowControl w:val="0"/>
        <w:numPr>
          <w:ilvl w:val="2"/>
          <w:numId w:val="1"/>
        </w:numPr>
        <w:suppressAutoHyphens/>
        <w:spacing w:before="57" w:after="120"/>
        <w:jc w:val="both"/>
        <w:rPr>
          <w:rFonts w:ascii="Garamond" w:hAnsi="Garamond" w:cs="Times New Roman"/>
        </w:rPr>
      </w:pPr>
      <w:r>
        <w:rPr>
          <w:rFonts w:ascii="Garamond" w:hAnsi="Garamond"/>
        </w:rPr>
        <w:t>The Items (author, name, inventory number),</w:t>
      </w:r>
    </w:p>
    <w:p w:rsidR="00EA4038" w:rsidRPr="00285B15" w:rsidRDefault="00EA4038" w:rsidP="00EA4038">
      <w:pPr>
        <w:widowControl w:val="0"/>
        <w:numPr>
          <w:ilvl w:val="2"/>
          <w:numId w:val="1"/>
        </w:numPr>
        <w:suppressAutoHyphens/>
        <w:spacing w:before="57" w:after="120"/>
        <w:jc w:val="both"/>
        <w:rPr>
          <w:rFonts w:ascii="Garamond" w:hAnsi="Garamond" w:cs="Times New Roman"/>
        </w:rPr>
      </w:pPr>
      <w:r>
        <w:rPr>
          <w:rFonts w:ascii="Garamond" w:hAnsi="Garamond"/>
        </w:rPr>
        <w:t>The place (address) of the Items’ exhibition,</w:t>
      </w:r>
    </w:p>
    <w:p w:rsidR="00EA4038" w:rsidRPr="00285B15" w:rsidRDefault="00EA4038" w:rsidP="00EA4038">
      <w:pPr>
        <w:widowControl w:val="0"/>
        <w:numPr>
          <w:ilvl w:val="2"/>
          <w:numId w:val="1"/>
        </w:numPr>
        <w:suppressAutoHyphens/>
        <w:spacing w:before="57" w:after="120"/>
        <w:jc w:val="both"/>
        <w:rPr>
          <w:rFonts w:ascii="Garamond" w:hAnsi="Garamond" w:cs="Times New Roman"/>
        </w:rPr>
      </w:pPr>
      <w:r>
        <w:rPr>
          <w:rFonts w:ascii="Garamond" w:hAnsi="Garamond"/>
        </w:rPr>
        <w:t>The period of the loan expressed at least in months and years.</w:t>
      </w:r>
    </w:p>
    <w:p w:rsidR="00EA4038" w:rsidRPr="00285B15" w:rsidRDefault="00EA4038" w:rsidP="00EA4038">
      <w:pPr>
        <w:pStyle w:val="Akapitzlist"/>
        <w:numPr>
          <w:ilvl w:val="1"/>
          <w:numId w:val="1"/>
        </w:numPr>
        <w:tabs>
          <w:tab w:val="clear" w:pos="1080"/>
        </w:tabs>
        <w:suppressAutoHyphens/>
        <w:autoSpaceDE/>
        <w:autoSpaceDN/>
        <w:spacing w:before="57" w:after="120"/>
        <w:ind w:left="1134" w:hanging="414"/>
        <w:contextualSpacing/>
        <w:jc w:val="both"/>
        <w:rPr>
          <w:rFonts w:ascii="Garamond" w:hAnsi="Garamond"/>
          <w:sz w:val="24"/>
          <w:szCs w:val="24"/>
        </w:rPr>
      </w:pPr>
      <w:r>
        <w:rPr>
          <w:rFonts w:ascii="Garamond" w:hAnsi="Garamond"/>
          <w:sz w:val="24"/>
          <w:szCs w:val="24"/>
        </w:rPr>
        <w:t>The decision whether to loan Items is taken by the Director of the Institute based on the opinions of the conservator (state of the Items, assessment of the request) and head of department (use of the Items for own purposes or loan, assessment of the request).</w:t>
      </w:r>
    </w:p>
    <w:p w:rsidR="00EA4038" w:rsidRPr="00285B15" w:rsidRDefault="00EA4038" w:rsidP="00EA4038">
      <w:pPr>
        <w:pStyle w:val="Akapitzlist"/>
        <w:suppressAutoHyphens/>
        <w:autoSpaceDE/>
        <w:autoSpaceDN/>
        <w:spacing w:before="57" w:after="120"/>
        <w:ind w:left="1134"/>
        <w:contextualSpacing/>
        <w:jc w:val="both"/>
        <w:rPr>
          <w:rFonts w:ascii="Garamond" w:hAnsi="Garamond"/>
          <w:sz w:val="12"/>
          <w:szCs w:val="12"/>
        </w:rPr>
      </w:pPr>
    </w:p>
    <w:p w:rsidR="00EA4038" w:rsidRPr="00285B15" w:rsidRDefault="00EA4038" w:rsidP="00EA4038">
      <w:pPr>
        <w:pStyle w:val="Akapitzlist"/>
        <w:numPr>
          <w:ilvl w:val="1"/>
          <w:numId w:val="1"/>
        </w:numPr>
        <w:suppressAutoHyphens/>
        <w:autoSpaceDE/>
        <w:autoSpaceDN/>
        <w:spacing w:before="57" w:after="120"/>
        <w:contextualSpacing/>
        <w:jc w:val="both"/>
        <w:rPr>
          <w:rFonts w:ascii="Garamond" w:hAnsi="Garamond"/>
          <w:sz w:val="24"/>
          <w:szCs w:val="24"/>
        </w:rPr>
      </w:pPr>
      <w:r>
        <w:rPr>
          <w:rFonts w:ascii="Garamond" w:hAnsi="Garamond"/>
          <w:sz w:val="24"/>
          <w:szCs w:val="24"/>
        </w:rPr>
        <w:t xml:space="preserve">The decision of the Director of the JHI is also contingent on: </w:t>
      </w:r>
    </w:p>
    <w:p w:rsidR="00EA4038" w:rsidRPr="00285B15" w:rsidRDefault="00EA4038" w:rsidP="00EA4038">
      <w:pPr>
        <w:pStyle w:val="Akapitzlist"/>
        <w:numPr>
          <w:ilvl w:val="2"/>
          <w:numId w:val="1"/>
        </w:numPr>
        <w:suppressAutoHyphens/>
        <w:autoSpaceDE/>
        <w:autoSpaceDN/>
        <w:spacing w:before="57" w:after="120"/>
        <w:contextualSpacing/>
        <w:jc w:val="both"/>
        <w:rPr>
          <w:rFonts w:ascii="Garamond" w:hAnsi="Garamond"/>
          <w:sz w:val="24"/>
          <w:szCs w:val="24"/>
        </w:rPr>
      </w:pPr>
      <w:r>
        <w:rPr>
          <w:rFonts w:ascii="Garamond" w:hAnsi="Garamond"/>
          <w:sz w:val="24"/>
          <w:szCs w:val="24"/>
        </w:rPr>
        <w:t>consent of the Association of the JHI – in the case of items deposited with the JHI by this Association,</w:t>
      </w:r>
    </w:p>
    <w:p w:rsidR="00EA4038" w:rsidRPr="00285B15" w:rsidRDefault="00EA4038" w:rsidP="00EA4038">
      <w:pPr>
        <w:pStyle w:val="Akapitzlist"/>
        <w:numPr>
          <w:ilvl w:val="2"/>
          <w:numId w:val="1"/>
        </w:numPr>
        <w:suppressAutoHyphens/>
        <w:autoSpaceDE/>
        <w:autoSpaceDN/>
        <w:spacing w:before="57" w:after="120"/>
        <w:contextualSpacing/>
        <w:jc w:val="both"/>
        <w:rPr>
          <w:rFonts w:ascii="Garamond" w:hAnsi="Garamond"/>
          <w:sz w:val="24"/>
          <w:szCs w:val="24"/>
        </w:rPr>
      </w:pPr>
      <w:r>
        <w:rPr>
          <w:rFonts w:ascii="Garamond" w:hAnsi="Garamond"/>
          <w:sz w:val="24"/>
          <w:szCs w:val="24"/>
        </w:rPr>
        <w:t>consent of the Provincial Monument Conservator – where Items are loaned outside the territory of Poland,</w:t>
      </w:r>
    </w:p>
    <w:p w:rsidR="00EA4038" w:rsidRPr="00285B15" w:rsidRDefault="00EA4038" w:rsidP="00EA4038">
      <w:pPr>
        <w:pStyle w:val="Akapitzlist"/>
        <w:numPr>
          <w:ilvl w:val="1"/>
          <w:numId w:val="1"/>
        </w:numPr>
        <w:tabs>
          <w:tab w:val="clear" w:pos="1080"/>
          <w:tab w:val="num" w:pos="1134"/>
        </w:tabs>
        <w:suppressAutoHyphens/>
        <w:autoSpaceDE/>
        <w:autoSpaceDN/>
        <w:spacing w:before="57" w:after="120"/>
        <w:ind w:left="1134" w:hanging="414"/>
        <w:contextualSpacing/>
        <w:jc w:val="both"/>
        <w:rPr>
          <w:rFonts w:ascii="Garamond" w:hAnsi="Garamond"/>
          <w:sz w:val="24"/>
          <w:szCs w:val="24"/>
        </w:rPr>
      </w:pPr>
      <w:r>
        <w:rPr>
          <w:rFonts w:ascii="Garamond" w:hAnsi="Garamond"/>
          <w:sz w:val="24"/>
          <w:szCs w:val="24"/>
        </w:rPr>
        <w:t xml:space="preserve">The Institute reserves the right to demand that a request be amended to include a description of the exhibition conditions in the place of exhibition or an </w:t>
      </w:r>
      <w:r w:rsidRPr="00EC4C5C">
        <w:rPr>
          <w:rFonts w:ascii="Garamond" w:hAnsi="Garamond"/>
          <w:sz w:val="24"/>
          <w:szCs w:val="24"/>
        </w:rPr>
        <w:t>option to</w:t>
      </w:r>
      <w:r>
        <w:rPr>
          <w:rFonts w:ascii="Garamond" w:hAnsi="Garamond"/>
          <w:sz w:val="24"/>
          <w:szCs w:val="24"/>
        </w:rPr>
        <w:t xml:space="preserve"> conduct an inspection of the exhibition site. </w:t>
      </w:r>
    </w:p>
    <w:p w:rsidR="00EA4038" w:rsidRPr="00285B15" w:rsidRDefault="00EA4038" w:rsidP="00EA4038">
      <w:pPr>
        <w:widowControl w:val="0"/>
        <w:numPr>
          <w:ilvl w:val="1"/>
          <w:numId w:val="1"/>
        </w:numPr>
        <w:suppressAutoHyphens/>
        <w:spacing w:before="57" w:after="120"/>
        <w:jc w:val="both"/>
        <w:rPr>
          <w:rFonts w:ascii="Garamond" w:hAnsi="Garamond" w:cs="Times New Roman"/>
        </w:rPr>
      </w:pPr>
      <w:r>
        <w:rPr>
          <w:rFonts w:ascii="Garamond" w:hAnsi="Garamond"/>
        </w:rPr>
        <w:t>Loaned Items may be used only in accordance with the purpose and for the period stated in the Agreement and should be returned on the last day defined in the Agreement</w:t>
      </w:r>
      <w:r w:rsidRPr="005719C7">
        <w:rPr>
          <w:rFonts w:ascii="Garamond" w:hAnsi="Garamond"/>
        </w:rPr>
        <w:t xml:space="preserve"> </w:t>
      </w:r>
      <w:r>
        <w:rPr>
          <w:rFonts w:ascii="Garamond" w:hAnsi="Garamond"/>
        </w:rPr>
        <w:t>at the latest.</w:t>
      </w:r>
    </w:p>
    <w:p w:rsidR="00EA4038" w:rsidRPr="00285B15" w:rsidRDefault="00EA4038" w:rsidP="00EA4038">
      <w:pPr>
        <w:widowControl w:val="0"/>
        <w:numPr>
          <w:ilvl w:val="1"/>
          <w:numId w:val="1"/>
        </w:numPr>
        <w:suppressAutoHyphens/>
        <w:spacing w:before="57" w:after="120"/>
        <w:jc w:val="both"/>
        <w:rPr>
          <w:rFonts w:ascii="Garamond" w:hAnsi="Garamond" w:cs="Times New Roman"/>
        </w:rPr>
      </w:pPr>
      <w:r>
        <w:rPr>
          <w:rFonts w:ascii="Garamond" w:hAnsi="Garamond"/>
        </w:rPr>
        <w:t>The Borrowing Entity shall bear all the costs of loaning Items under the Agreement, including packaging and transport there and back.</w:t>
      </w:r>
    </w:p>
    <w:p w:rsidR="00EA4038" w:rsidRPr="00285B15" w:rsidRDefault="00EA4038" w:rsidP="00EA4038">
      <w:pPr>
        <w:widowControl w:val="0"/>
        <w:numPr>
          <w:ilvl w:val="1"/>
          <w:numId w:val="1"/>
        </w:numPr>
        <w:suppressAutoHyphens/>
        <w:spacing w:before="57" w:after="120"/>
        <w:rPr>
          <w:rFonts w:ascii="Garamond" w:hAnsi="Garamond" w:cs="Times New Roman"/>
        </w:rPr>
      </w:pPr>
      <w:r>
        <w:rPr>
          <w:rFonts w:ascii="Garamond" w:hAnsi="Garamond"/>
        </w:rPr>
        <w:t>The Borrowing Entity does not have the right to loan Items to third parties.</w:t>
      </w:r>
    </w:p>
    <w:p w:rsidR="00EA4038" w:rsidRPr="00285B15" w:rsidRDefault="00EA4038" w:rsidP="00EA4038">
      <w:pPr>
        <w:widowControl w:val="0"/>
        <w:numPr>
          <w:ilvl w:val="1"/>
          <w:numId w:val="1"/>
        </w:numPr>
        <w:suppressAutoHyphens/>
        <w:spacing w:before="57" w:after="120"/>
        <w:jc w:val="both"/>
        <w:rPr>
          <w:rFonts w:ascii="Garamond" w:hAnsi="Garamond" w:cs="Times New Roman"/>
        </w:rPr>
      </w:pPr>
      <w:r>
        <w:rPr>
          <w:rFonts w:ascii="Garamond" w:hAnsi="Garamond"/>
        </w:rPr>
        <w:t>The Borrowing Entity shall exhibit and store the loaned Items with all due care, in accordance with the conditions set out in the Agreement. Optimum conditions for storage and exhibition are set out in the table below:</w:t>
      </w:r>
    </w:p>
    <w:p w:rsidR="00EA4038" w:rsidRPr="00BD58BD" w:rsidRDefault="00EA4038" w:rsidP="00EA4038">
      <w:pPr>
        <w:widowControl w:val="0"/>
        <w:suppressAutoHyphens/>
        <w:spacing w:before="57" w:after="57"/>
        <w:ind w:left="1080"/>
        <w:jc w:val="both"/>
        <w:rPr>
          <w:rFonts w:ascii="Garamond" w:hAnsi="Garamond" w:cs="Times New Roman"/>
          <w:lang w:val="en-US"/>
        </w:rPr>
      </w:pPr>
    </w:p>
    <w:p w:rsidR="00EA4038" w:rsidRDefault="00EA4038" w:rsidP="00EA4038">
      <w:pPr>
        <w:widowControl w:val="0"/>
        <w:suppressAutoHyphens/>
        <w:spacing w:before="57" w:after="57"/>
        <w:ind w:left="1080"/>
        <w:jc w:val="both"/>
        <w:rPr>
          <w:rFonts w:ascii="Garamond" w:hAnsi="Garamond" w:cs="Times New Roman"/>
          <w:lang w:val="en-US"/>
        </w:rPr>
      </w:pPr>
    </w:p>
    <w:p w:rsidR="00EA4038" w:rsidRPr="00BD58BD" w:rsidRDefault="00EA4038" w:rsidP="00EA4038">
      <w:pPr>
        <w:widowControl w:val="0"/>
        <w:suppressAutoHyphens/>
        <w:spacing w:before="57" w:after="57"/>
        <w:ind w:left="1080"/>
        <w:jc w:val="both"/>
        <w:rPr>
          <w:rFonts w:ascii="Garamond" w:hAnsi="Garamond" w:cs="Times New Roman"/>
          <w:lang w:val="en-US"/>
        </w:rPr>
      </w:pPr>
    </w:p>
    <w:tbl>
      <w:tblPr>
        <w:tblpPr w:leftFromText="141" w:rightFromText="141" w:vertAnchor="text" w:horzAnchor="margin" w:tblpXSpec="center" w:tblpY="193"/>
        <w:tblW w:w="6362"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926"/>
        <w:gridCol w:w="1337"/>
        <w:gridCol w:w="2274"/>
        <w:gridCol w:w="1825"/>
      </w:tblGrid>
      <w:tr w:rsidR="00EA4038" w:rsidRPr="00285B15" w:rsidTr="00DC49AE">
        <w:tc>
          <w:tcPr>
            <w:tcW w:w="926" w:type="dxa"/>
            <w:tcBorders>
              <w:top w:val="single" w:sz="2" w:space="0" w:color="000001"/>
              <w:left w:val="single" w:sz="2" w:space="0" w:color="000001"/>
              <w:bottom w:val="single" w:sz="2" w:space="0" w:color="000001"/>
              <w:right w:val="nil"/>
            </w:tcBorders>
            <w:vAlign w:val="center"/>
          </w:tcPr>
          <w:p w:rsidR="00EA4038" w:rsidRPr="00285B15" w:rsidRDefault="00EA4038" w:rsidP="00DC49AE">
            <w:pPr>
              <w:pStyle w:val="Zawartotabeli"/>
              <w:spacing w:before="57" w:after="57"/>
              <w:rPr>
                <w:rFonts w:ascii="Garamond" w:hAnsi="Garamond" w:cs="Times New Roman"/>
              </w:rPr>
            </w:pPr>
          </w:p>
        </w:tc>
        <w:tc>
          <w:tcPr>
            <w:tcW w:w="1337"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rPr>
                <w:rFonts w:ascii="Garamond" w:hAnsi="Garamond" w:cs="Times New Roman"/>
              </w:rPr>
            </w:pPr>
            <w:r>
              <w:rPr>
                <w:rFonts w:ascii="Garamond" w:hAnsi="Garamond"/>
              </w:rPr>
              <w:t>Temperature</w:t>
            </w:r>
          </w:p>
          <w:p w:rsidR="00EA4038" w:rsidRPr="00285B15" w:rsidRDefault="00EA4038" w:rsidP="00DC49AE">
            <w:pPr>
              <w:pStyle w:val="Zawartotabeli"/>
              <w:rPr>
                <w:rFonts w:ascii="Garamond" w:hAnsi="Garamond" w:cs="Times New Roman"/>
              </w:rPr>
            </w:pPr>
            <w:r w:rsidRPr="00285B15">
              <w:rPr>
                <w:rFonts w:ascii="Garamond" w:hAnsi="Garamond" w:cs="Times New Roman"/>
              </w:rPr>
              <w:t>Cº</w:t>
            </w:r>
          </w:p>
        </w:tc>
        <w:tc>
          <w:tcPr>
            <w:tcW w:w="2274"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rPr>
                <w:rFonts w:ascii="Garamond" w:hAnsi="Garamond" w:cs="Times New Roman"/>
              </w:rPr>
            </w:pPr>
            <w:r>
              <w:rPr>
                <w:rFonts w:ascii="Garamond" w:hAnsi="Garamond"/>
              </w:rPr>
              <w:t xml:space="preserve">Relative humidity </w:t>
            </w:r>
          </w:p>
          <w:p w:rsidR="00EA4038" w:rsidRPr="00285B15" w:rsidRDefault="00EA4038" w:rsidP="00DC49AE">
            <w:pPr>
              <w:pStyle w:val="Zawartotabeli"/>
              <w:rPr>
                <w:rFonts w:ascii="Garamond" w:hAnsi="Garamond" w:cs="Times New Roman"/>
              </w:rPr>
            </w:pPr>
            <w:r>
              <w:rPr>
                <w:rFonts w:ascii="Garamond" w:hAnsi="Garamond"/>
              </w:rPr>
              <w:t>RH (%)</w:t>
            </w:r>
          </w:p>
        </w:tc>
        <w:tc>
          <w:tcPr>
            <w:tcW w:w="1825" w:type="dxa"/>
            <w:tcBorders>
              <w:top w:val="single" w:sz="2" w:space="0" w:color="000001"/>
              <w:left w:val="single" w:sz="2" w:space="0" w:color="000001"/>
              <w:bottom w:val="single" w:sz="2" w:space="0" w:color="000001"/>
              <w:right w:val="single" w:sz="2" w:space="0" w:color="000001"/>
            </w:tcBorders>
            <w:vAlign w:val="center"/>
            <w:hideMark/>
          </w:tcPr>
          <w:p w:rsidR="00EA4038" w:rsidRPr="00285B15" w:rsidRDefault="00EA4038" w:rsidP="00DC49AE">
            <w:pPr>
              <w:pStyle w:val="Zawartotabeli"/>
              <w:rPr>
                <w:rFonts w:ascii="Garamond" w:hAnsi="Garamond" w:cs="Times New Roman"/>
              </w:rPr>
            </w:pPr>
            <w:r>
              <w:rPr>
                <w:rFonts w:ascii="Garamond" w:hAnsi="Garamond"/>
              </w:rPr>
              <w:t>Light levels</w:t>
            </w:r>
          </w:p>
          <w:p w:rsidR="00EA4038" w:rsidRPr="00285B15" w:rsidRDefault="00EA4038" w:rsidP="00DC49AE">
            <w:pPr>
              <w:pStyle w:val="Zawartotabeli"/>
              <w:rPr>
                <w:rFonts w:ascii="Garamond" w:hAnsi="Garamond" w:cs="Times New Roman"/>
              </w:rPr>
            </w:pPr>
            <w:r>
              <w:rPr>
                <w:rFonts w:ascii="Garamond" w:hAnsi="Garamond"/>
              </w:rPr>
              <w:t>(Lux)</w:t>
            </w:r>
          </w:p>
        </w:tc>
      </w:tr>
      <w:tr w:rsidR="00EA4038" w:rsidRPr="00285B15" w:rsidTr="00DC49AE">
        <w:tc>
          <w:tcPr>
            <w:tcW w:w="926"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Wood</w:t>
            </w:r>
          </w:p>
        </w:tc>
        <w:tc>
          <w:tcPr>
            <w:tcW w:w="1337"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18 – 22</w:t>
            </w:r>
          </w:p>
        </w:tc>
        <w:tc>
          <w:tcPr>
            <w:tcW w:w="2274"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50±5</w:t>
            </w:r>
          </w:p>
        </w:tc>
        <w:tc>
          <w:tcPr>
            <w:tcW w:w="1825" w:type="dxa"/>
            <w:tcBorders>
              <w:top w:val="single" w:sz="2" w:space="0" w:color="000001"/>
              <w:left w:val="single" w:sz="2" w:space="0" w:color="000001"/>
              <w:bottom w:val="single" w:sz="2" w:space="0" w:color="000001"/>
              <w:right w:val="single" w:sz="2" w:space="0" w:color="000001"/>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up to 200</w:t>
            </w:r>
          </w:p>
        </w:tc>
      </w:tr>
      <w:tr w:rsidR="00EA4038" w:rsidRPr="00285B15" w:rsidTr="00DC49AE">
        <w:tc>
          <w:tcPr>
            <w:tcW w:w="926"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 xml:space="preserve">Paper </w:t>
            </w:r>
          </w:p>
        </w:tc>
        <w:tc>
          <w:tcPr>
            <w:tcW w:w="1337"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18 – 22</w:t>
            </w:r>
          </w:p>
        </w:tc>
        <w:tc>
          <w:tcPr>
            <w:tcW w:w="2274"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55±5</w:t>
            </w:r>
          </w:p>
        </w:tc>
        <w:tc>
          <w:tcPr>
            <w:tcW w:w="1825" w:type="dxa"/>
            <w:tcBorders>
              <w:top w:val="single" w:sz="2" w:space="0" w:color="000001"/>
              <w:left w:val="single" w:sz="2" w:space="0" w:color="000001"/>
              <w:bottom w:val="single" w:sz="2" w:space="0" w:color="000001"/>
              <w:right w:val="single" w:sz="2" w:space="0" w:color="000001"/>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up to 50</w:t>
            </w:r>
          </w:p>
        </w:tc>
      </w:tr>
      <w:tr w:rsidR="00EA4038" w:rsidRPr="00285B15" w:rsidTr="00DC49AE">
        <w:tc>
          <w:tcPr>
            <w:tcW w:w="926"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Leather</w:t>
            </w:r>
          </w:p>
        </w:tc>
        <w:tc>
          <w:tcPr>
            <w:tcW w:w="1337"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18 – 22</w:t>
            </w:r>
          </w:p>
        </w:tc>
        <w:tc>
          <w:tcPr>
            <w:tcW w:w="2274"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55±5</w:t>
            </w:r>
          </w:p>
        </w:tc>
        <w:tc>
          <w:tcPr>
            <w:tcW w:w="1825" w:type="dxa"/>
            <w:tcBorders>
              <w:top w:val="single" w:sz="2" w:space="0" w:color="000001"/>
              <w:left w:val="single" w:sz="2" w:space="0" w:color="000001"/>
              <w:bottom w:val="single" w:sz="2" w:space="0" w:color="000001"/>
              <w:right w:val="single" w:sz="2" w:space="0" w:color="000001"/>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up to 200</w:t>
            </w:r>
          </w:p>
        </w:tc>
      </w:tr>
      <w:tr w:rsidR="00EA4038" w:rsidRPr="00285B15" w:rsidTr="00DC49AE">
        <w:tc>
          <w:tcPr>
            <w:tcW w:w="926"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Fabric</w:t>
            </w:r>
          </w:p>
        </w:tc>
        <w:tc>
          <w:tcPr>
            <w:tcW w:w="1337"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18 – 22</w:t>
            </w:r>
          </w:p>
        </w:tc>
        <w:tc>
          <w:tcPr>
            <w:tcW w:w="2274"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50±5</w:t>
            </w:r>
          </w:p>
        </w:tc>
        <w:tc>
          <w:tcPr>
            <w:tcW w:w="1825" w:type="dxa"/>
            <w:tcBorders>
              <w:top w:val="single" w:sz="2" w:space="0" w:color="000001"/>
              <w:left w:val="single" w:sz="2" w:space="0" w:color="000001"/>
              <w:bottom w:val="single" w:sz="2" w:space="0" w:color="000001"/>
              <w:right w:val="single" w:sz="2" w:space="0" w:color="000001"/>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up to 50</w:t>
            </w:r>
          </w:p>
        </w:tc>
      </w:tr>
      <w:tr w:rsidR="00EA4038" w:rsidRPr="00285B15" w:rsidTr="00DC49AE">
        <w:tc>
          <w:tcPr>
            <w:tcW w:w="926"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Metal</w:t>
            </w:r>
          </w:p>
        </w:tc>
        <w:tc>
          <w:tcPr>
            <w:tcW w:w="1337"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18 – 22</w:t>
            </w:r>
          </w:p>
        </w:tc>
        <w:tc>
          <w:tcPr>
            <w:tcW w:w="2274" w:type="dxa"/>
            <w:tcBorders>
              <w:top w:val="single" w:sz="2" w:space="0" w:color="000001"/>
              <w:left w:val="single" w:sz="2" w:space="0" w:color="000001"/>
              <w:bottom w:val="single" w:sz="2" w:space="0" w:color="000001"/>
              <w:right w:val="nil"/>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up to 45</w:t>
            </w:r>
          </w:p>
        </w:tc>
        <w:tc>
          <w:tcPr>
            <w:tcW w:w="1825" w:type="dxa"/>
            <w:tcBorders>
              <w:top w:val="single" w:sz="2" w:space="0" w:color="000001"/>
              <w:left w:val="single" w:sz="2" w:space="0" w:color="000001"/>
              <w:bottom w:val="single" w:sz="2" w:space="0" w:color="000001"/>
              <w:right w:val="single" w:sz="2" w:space="0" w:color="000001"/>
            </w:tcBorders>
            <w:vAlign w:val="center"/>
            <w:hideMark/>
          </w:tcPr>
          <w:p w:rsidR="00EA4038" w:rsidRPr="00285B15" w:rsidRDefault="00EA4038" w:rsidP="00DC49AE">
            <w:pPr>
              <w:pStyle w:val="Zawartotabeli"/>
              <w:spacing w:before="57" w:after="57"/>
              <w:rPr>
                <w:rFonts w:ascii="Garamond" w:hAnsi="Garamond" w:cs="Times New Roman"/>
              </w:rPr>
            </w:pPr>
            <w:r>
              <w:rPr>
                <w:rFonts w:ascii="Garamond" w:hAnsi="Garamond"/>
              </w:rPr>
              <w:t>300 - 500</w:t>
            </w:r>
          </w:p>
        </w:tc>
      </w:tr>
    </w:tbl>
    <w:p w:rsidR="00EA4038" w:rsidRPr="00285B15" w:rsidRDefault="00EA4038" w:rsidP="00EA4038">
      <w:pPr>
        <w:pStyle w:val="Akapitzlist"/>
        <w:spacing w:before="57" w:after="57"/>
        <w:rPr>
          <w:rFonts w:ascii="Garamond" w:hAnsi="Garamond"/>
          <w:sz w:val="24"/>
          <w:szCs w:val="24"/>
        </w:rPr>
      </w:pPr>
    </w:p>
    <w:p w:rsidR="00EA4038" w:rsidRPr="00285B15" w:rsidRDefault="00EA4038" w:rsidP="00EA4038">
      <w:pPr>
        <w:spacing w:before="57" w:after="57"/>
        <w:ind w:left="1080"/>
        <w:jc w:val="both"/>
        <w:rPr>
          <w:rFonts w:ascii="Garamond" w:hAnsi="Garamond" w:cs="Times New Roman"/>
          <w:lang w:val="pl-PL"/>
        </w:rPr>
      </w:pPr>
    </w:p>
    <w:p w:rsidR="00EA4038" w:rsidRPr="00285B15" w:rsidRDefault="00EA4038" w:rsidP="00EA4038">
      <w:pPr>
        <w:spacing w:before="57" w:after="57"/>
        <w:ind w:left="1080"/>
        <w:jc w:val="both"/>
        <w:rPr>
          <w:rFonts w:ascii="Garamond" w:hAnsi="Garamond" w:cs="Times New Roman"/>
          <w:lang w:val="pl-PL"/>
        </w:rPr>
      </w:pPr>
    </w:p>
    <w:p w:rsidR="00EA4038" w:rsidRPr="00285B15" w:rsidRDefault="00EA4038" w:rsidP="00EA4038">
      <w:pPr>
        <w:widowControl w:val="0"/>
        <w:suppressAutoHyphens/>
        <w:spacing w:before="57" w:after="57"/>
        <w:ind w:left="1080"/>
        <w:jc w:val="both"/>
        <w:rPr>
          <w:rFonts w:ascii="Garamond" w:hAnsi="Garamond" w:cs="Times New Roman"/>
          <w:lang w:val="pl-PL"/>
        </w:rPr>
      </w:pPr>
    </w:p>
    <w:p w:rsidR="00EA4038" w:rsidRPr="00285B15" w:rsidRDefault="00EA4038" w:rsidP="00EA4038">
      <w:pPr>
        <w:widowControl w:val="0"/>
        <w:suppressAutoHyphens/>
        <w:spacing w:before="57" w:after="57"/>
        <w:ind w:left="1080"/>
        <w:jc w:val="both"/>
        <w:rPr>
          <w:rFonts w:ascii="Garamond" w:hAnsi="Garamond" w:cs="Times New Roman"/>
          <w:lang w:val="pl-PL"/>
        </w:rPr>
      </w:pPr>
    </w:p>
    <w:p w:rsidR="00EA4038" w:rsidRPr="00285B15" w:rsidRDefault="00EA4038" w:rsidP="00EA4038">
      <w:pPr>
        <w:widowControl w:val="0"/>
        <w:suppressAutoHyphens/>
        <w:spacing w:before="57" w:after="57"/>
        <w:ind w:left="1080"/>
        <w:jc w:val="both"/>
        <w:rPr>
          <w:rFonts w:ascii="Garamond" w:hAnsi="Garamond" w:cs="Times New Roman"/>
          <w:lang w:val="pl-PL"/>
        </w:rPr>
      </w:pPr>
    </w:p>
    <w:p w:rsidR="00EA4038" w:rsidRPr="00285B15" w:rsidRDefault="00EA4038" w:rsidP="00EA4038">
      <w:pPr>
        <w:widowControl w:val="0"/>
        <w:suppressAutoHyphens/>
        <w:spacing w:before="57" w:after="57"/>
        <w:ind w:left="1080"/>
        <w:jc w:val="both"/>
        <w:rPr>
          <w:rFonts w:ascii="Garamond" w:hAnsi="Garamond" w:cs="Times New Roman"/>
          <w:lang w:val="pl-PL"/>
        </w:rPr>
      </w:pPr>
    </w:p>
    <w:p w:rsidR="00EA4038" w:rsidRPr="00285B15" w:rsidRDefault="00EA4038" w:rsidP="00EA4038">
      <w:pPr>
        <w:widowControl w:val="0"/>
        <w:suppressAutoHyphens/>
        <w:spacing w:before="57" w:after="57"/>
        <w:ind w:left="1080"/>
        <w:jc w:val="both"/>
        <w:rPr>
          <w:rFonts w:ascii="Garamond" w:hAnsi="Garamond" w:cs="Times New Roman"/>
          <w:lang w:val="pl-PL"/>
        </w:rPr>
      </w:pPr>
    </w:p>
    <w:p w:rsidR="00EA4038" w:rsidRPr="00285B15" w:rsidRDefault="00EA4038" w:rsidP="00EA4038">
      <w:pPr>
        <w:widowControl w:val="0"/>
        <w:suppressAutoHyphens/>
        <w:spacing w:before="57" w:after="57"/>
        <w:ind w:left="1080"/>
        <w:jc w:val="both"/>
        <w:rPr>
          <w:rFonts w:ascii="Garamond" w:hAnsi="Garamond" w:cs="Times New Roman"/>
          <w:lang w:val="pl-PL"/>
        </w:rPr>
      </w:pPr>
    </w:p>
    <w:p w:rsidR="00EA4038" w:rsidRPr="00285B15" w:rsidRDefault="00EA4038" w:rsidP="00EA4038">
      <w:pPr>
        <w:widowControl w:val="0"/>
        <w:suppressAutoHyphens/>
        <w:spacing w:before="57" w:after="57"/>
        <w:ind w:left="1080"/>
        <w:jc w:val="both"/>
        <w:rPr>
          <w:rFonts w:ascii="Garamond" w:hAnsi="Garamond" w:cs="Times New Roman"/>
          <w:lang w:val="pl-PL"/>
        </w:rPr>
      </w:pPr>
    </w:p>
    <w:p w:rsidR="00EA4038" w:rsidRPr="00285B15" w:rsidRDefault="00EA4038" w:rsidP="00EA4038">
      <w:pPr>
        <w:widowControl w:val="0"/>
        <w:suppressAutoHyphens/>
        <w:spacing w:before="57" w:after="57"/>
        <w:ind w:left="1080"/>
        <w:jc w:val="both"/>
        <w:rPr>
          <w:rFonts w:ascii="Garamond" w:hAnsi="Garamond" w:cs="Times New Roman"/>
          <w:lang w:val="pl-PL"/>
        </w:rPr>
      </w:pPr>
    </w:p>
    <w:p w:rsidR="00EA4038" w:rsidRPr="00285B15" w:rsidRDefault="00EA4038" w:rsidP="00EA4038">
      <w:pPr>
        <w:widowControl w:val="0"/>
        <w:suppressAutoHyphens/>
        <w:spacing w:before="57" w:after="57"/>
        <w:ind w:left="1080"/>
        <w:jc w:val="both"/>
        <w:rPr>
          <w:rFonts w:ascii="Garamond" w:hAnsi="Garamond" w:cs="Times New Roman"/>
          <w:lang w:val="pl-PL"/>
        </w:rPr>
      </w:pPr>
    </w:p>
    <w:p w:rsidR="00EA4038" w:rsidRPr="00285B15" w:rsidRDefault="00EA4038" w:rsidP="00EA4038">
      <w:pPr>
        <w:widowControl w:val="0"/>
        <w:numPr>
          <w:ilvl w:val="1"/>
          <w:numId w:val="1"/>
        </w:numPr>
        <w:suppressAutoHyphens/>
        <w:spacing w:before="57" w:after="57"/>
        <w:jc w:val="both"/>
        <w:rPr>
          <w:rFonts w:ascii="Garamond" w:hAnsi="Garamond" w:cs="Times New Roman"/>
        </w:rPr>
      </w:pPr>
      <w:r>
        <w:rPr>
          <w:rFonts w:ascii="Garamond" w:hAnsi="Garamond"/>
        </w:rPr>
        <w:t>The Institute reserves the right to inspect exhibition and storage conditions of the loaned Items over the period of the exhibition.</w:t>
      </w:r>
    </w:p>
    <w:p w:rsidR="00EA4038" w:rsidRPr="00285B15" w:rsidRDefault="00EA4038" w:rsidP="00EA4038">
      <w:pPr>
        <w:widowControl w:val="0"/>
        <w:numPr>
          <w:ilvl w:val="1"/>
          <w:numId w:val="1"/>
        </w:numPr>
        <w:suppressAutoHyphens/>
        <w:spacing w:before="57" w:after="57"/>
        <w:jc w:val="both"/>
        <w:rPr>
          <w:rFonts w:ascii="Garamond" w:hAnsi="Garamond" w:cs="Times New Roman"/>
        </w:rPr>
      </w:pPr>
      <w:r>
        <w:rPr>
          <w:rFonts w:ascii="Garamond" w:hAnsi="Garamond"/>
        </w:rPr>
        <w:t>The Borrowing Entity shall take out “nail to nail” insurance coverage for the Items. A copy of the insurance policy should be provided to the Institute at least three days prior to the day of the Items’ handover.</w:t>
      </w:r>
    </w:p>
    <w:p w:rsidR="00EA4038" w:rsidRPr="00285B15" w:rsidRDefault="00EA4038" w:rsidP="00EA4038">
      <w:pPr>
        <w:widowControl w:val="0"/>
        <w:numPr>
          <w:ilvl w:val="1"/>
          <w:numId w:val="1"/>
        </w:numPr>
        <w:suppressAutoHyphens/>
        <w:spacing w:before="57" w:after="57"/>
        <w:jc w:val="both"/>
        <w:rPr>
          <w:rFonts w:ascii="Garamond" w:hAnsi="Garamond" w:cs="Times New Roman"/>
        </w:rPr>
      </w:pPr>
      <w:r>
        <w:rPr>
          <w:rFonts w:ascii="Garamond" w:hAnsi="Garamond"/>
        </w:rPr>
        <w:t>For the duration of transport, the Items must be packed using appropriate materials that ensure maximum protection against any damage that might occur during transport.</w:t>
      </w:r>
    </w:p>
    <w:p w:rsidR="00EA4038" w:rsidRPr="00285B15" w:rsidRDefault="00EA4038" w:rsidP="00EA4038">
      <w:pPr>
        <w:widowControl w:val="0"/>
        <w:numPr>
          <w:ilvl w:val="1"/>
          <w:numId w:val="1"/>
        </w:numPr>
        <w:suppressAutoHyphens/>
        <w:spacing w:before="57" w:after="57"/>
        <w:jc w:val="both"/>
        <w:rPr>
          <w:rFonts w:ascii="Garamond" w:hAnsi="Garamond" w:cs="Times New Roman"/>
        </w:rPr>
      </w:pPr>
      <w:r>
        <w:rPr>
          <w:rFonts w:ascii="Garamond" w:hAnsi="Garamond"/>
        </w:rPr>
        <w:t>The Institute reserves the right to send a courier with the transported Items at the cost of the Borrowing Entity. The courier oversees the packing, transport and unpacking of the Items and their placement at the exhibition site.</w:t>
      </w:r>
    </w:p>
    <w:p w:rsidR="00EA4038" w:rsidRPr="00285B15" w:rsidRDefault="00EA4038" w:rsidP="00EA4038">
      <w:pPr>
        <w:widowControl w:val="0"/>
        <w:numPr>
          <w:ilvl w:val="1"/>
          <w:numId w:val="1"/>
        </w:numPr>
        <w:suppressAutoHyphens/>
        <w:spacing w:before="57" w:after="57"/>
        <w:jc w:val="both"/>
        <w:rPr>
          <w:rFonts w:ascii="Garamond" w:hAnsi="Garamond" w:cs="Times New Roman"/>
        </w:rPr>
      </w:pPr>
      <w:r>
        <w:rPr>
          <w:rFonts w:ascii="Garamond" w:hAnsi="Garamond"/>
        </w:rPr>
        <w:t>Handover and return of the Items is done pursuant to a delivery protocol.</w:t>
      </w:r>
    </w:p>
    <w:p w:rsidR="00EA4038" w:rsidRPr="00285B15" w:rsidRDefault="00EA4038" w:rsidP="00EA4038">
      <w:pPr>
        <w:widowControl w:val="0"/>
        <w:numPr>
          <w:ilvl w:val="1"/>
          <w:numId w:val="1"/>
        </w:numPr>
        <w:suppressAutoHyphens/>
        <w:spacing w:before="57" w:after="57"/>
        <w:jc w:val="both"/>
        <w:rPr>
          <w:rFonts w:ascii="Garamond" w:hAnsi="Garamond" w:cs="Times New Roman"/>
        </w:rPr>
      </w:pPr>
      <w:r>
        <w:rPr>
          <w:rFonts w:ascii="Garamond" w:hAnsi="Garamond"/>
        </w:rPr>
        <w:t>The Institute reserves the right to claim compensation for Items damaged, destroyed or lost during a loan.</w:t>
      </w:r>
    </w:p>
    <w:p w:rsidR="00EA4038" w:rsidRPr="00285B15" w:rsidRDefault="00EA4038" w:rsidP="00EA4038">
      <w:pPr>
        <w:widowControl w:val="0"/>
        <w:numPr>
          <w:ilvl w:val="1"/>
          <w:numId w:val="1"/>
        </w:numPr>
        <w:suppressAutoHyphens/>
        <w:spacing w:before="57" w:after="57"/>
        <w:jc w:val="both"/>
        <w:rPr>
          <w:rFonts w:ascii="Garamond" w:hAnsi="Garamond" w:cs="Times New Roman"/>
        </w:rPr>
      </w:pPr>
      <w:r>
        <w:rPr>
          <w:rFonts w:ascii="Garamond" w:hAnsi="Garamond"/>
        </w:rPr>
        <w:t xml:space="preserve">The Borrowing Entity shall immediately inform the Institute of damage or loss of Items and send a detailed report on the state of the damage incurred with full photographic documentation or a detailed report on the circumstances of the Items’ loss. The report shall be sent within three days of the occurrence of the damage. </w:t>
      </w:r>
    </w:p>
    <w:p w:rsidR="00847BD7" w:rsidRPr="00EA4038" w:rsidRDefault="00EA4038" w:rsidP="00EA4038">
      <w:pPr>
        <w:widowControl w:val="0"/>
        <w:numPr>
          <w:ilvl w:val="1"/>
          <w:numId w:val="1"/>
        </w:numPr>
        <w:suppressAutoHyphens/>
        <w:spacing w:before="57" w:after="57"/>
        <w:jc w:val="both"/>
        <w:rPr>
          <w:rFonts w:ascii="Garamond" w:hAnsi="Garamond" w:cs="Times New Roman"/>
        </w:rPr>
      </w:pPr>
      <w:r w:rsidRPr="00EA4038">
        <w:rPr>
          <w:rFonts w:ascii="Garamond" w:hAnsi="Garamond"/>
        </w:rPr>
        <w:t>The Institute reserves the right to an additional inspection in connection with damage or loss of Items, carried out by employees of the Institute and external experts, the costs of which shall be borne by the Borrowing Entity.</w:t>
      </w:r>
      <w:bookmarkStart w:id="0" w:name="_GoBack"/>
      <w:bookmarkEnd w:id="0"/>
    </w:p>
    <w:sectPr w:rsidR="00847BD7" w:rsidRPr="00EA4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Droid Sans Fallback">
    <w:charset w:val="80"/>
    <w:family w:val="swiss"/>
    <w:pitch w:val="variable"/>
    <w:sig w:usb0="910002FF" w:usb1="2BDFFCFB" w:usb2="00000036" w:usb3="00000000" w:csb0="003F01FF" w:csb1="00000000"/>
  </w:font>
  <w:font w:name="Free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92C38"/>
    <w:multiLevelType w:val="multilevel"/>
    <w:tmpl w:val="66AE96EE"/>
    <w:lvl w:ilvl="0">
      <w:start w:val="1"/>
      <w:numFmt w:val="upperRoman"/>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38"/>
    <w:rsid w:val="00847BD7"/>
    <w:rsid w:val="00A8045F"/>
    <w:rsid w:val="00EA4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5082"/>
  <w15:chartTrackingRefBased/>
  <w15:docId w15:val="{C48C1D03-B930-4CF7-A45D-65D0C7D9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pl-PL" w:eastAsia="en-US" w:bidi="ar-SA"/>
      </w:rPr>
    </w:rPrDefault>
    <w:pPrDefault>
      <w:pPr>
        <w:spacing w:after="24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4038"/>
    <w:pPr>
      <w:spacing w:after="0" w:line="240" w:lineRule="auto"/>
    </w:pPr>
    <w:rPr>
      <w:rFonts w:asciiTheme="minorHAnsi" w:eastAsiaTheme="minorEastAsia" w:hAnsiTheme="minorHAnsi"/>
      <w:szCs w:val="24"/>
      <w:lang w:val="en-GB"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8045F"/>
    <w:pPr>
      <w:jc w:val="both"/>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A8045F"/>
    <w:rPr>
      <w:rFonts w:ascii="Times New Roman" w:hAnsi="Times New Roman"/>
      <w:sz w:val="20"/>
      <w:szCs w:val="20"/>
    </w:rPr>
  </w:style>
  <w:style w:type="paragraph" w:styleId="Akapitzlist">
    <w:name w:val="List Paragraph"/>
    <w:basedOn w:val="Normalny"/>
    <w:uiPriority w:val="34"/>
    <w:qFormat/>
    <w:rsid w:val="00EA4038"/>
    <w:pPr>
      <w:widowControl w:val="0"/>
      <w:autoSpaceDE w:val="0"/>
      <w:autoSpaceDN w:val="0"/>
    </w:pPr>
    <w:rPr>
      <w:rFonts w:ascii="Times New Roman" w:eastAsia="Times New Roman" w:hAnsi="Times New Roman" w:cs="Times New Roman"/>
      <w:sz w:val="22"/>
      <w:szCs w:val="22"/>
      <w:lang w:eastAsia="pl-PL" w:bidi="pl-PL"/>
    </w:rPr>
  </w:style>
  <w:style w:type="paragraph" w:customStyle="1" w:styleId="Zawartotabeli">
    <w:name w:val="Zawartość tabeli"/>
    <w:basedOn w:val="Normalny"/>
    <w:qFormat/>
    <w:rsid w:val="00EA4038"/>
    <w:pPr>
      <w:widowControl w:val="0"/>
      <w:suppressAutoHyphens/>
    </w:pPr>
    <w:rPr>
      <w:rFonts w:ascii="Liberation Serif" w:eastAsia="Droid Sans Fallback" w:hAnsi="Liberation Serif" w:cs="FreeSans"/>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3334</Characters>
  <Application>Microsoft Office Word</Application>
  <DocSecurity>0</DocSecurity>
  <Lines>27</Lines>
  <Paragraphs>7</Paragraphs>
  <ScaleCrop>false</ScaleCrop>
  <Company>Żydowski Instytut Historyczny</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Batorski</dc:creator>
  <cp:keywords/>
  <dc:description/>
  <cp:lastModifiedBy>Przemysław Batorski</cp:lastModifiedBy>
  <cp:revision>1</cp:revision>
  <dcterms:created xsi:type="dcterms:W3CDTF">2021-02-23T10:38:00Z</dcterms:created>
  <dcterms:modified xsi:type="dcterms:W3CDTF">2021-02-23T10:38:00Z</dcterms:modified>
</cp:coreProperties>
</file>